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E34B4" w14:textId="2CFC71AC" w:rsidR="00F5648C" w:rsidRPr="00BA0D2D" w:rsidRDefault="00F5648C" w:rsidP="00F5648C">
      <w:pPr>
        <w:pStyle w:val="3GPPHeader"/>
        <w:spacing w:after="60"/>
        <w:rPr>
          <w:sz w:val="32"/>
          <w:szCs w:val="32"/>
        </w:rPr>
      </w:pPr>
      <w:bookmarkStart w:id="0" w:name="_GoBack"/>
      <w:bookmarkEnd w:id="0"/>
      <w:r w:rsidRPr="00BA0D2D">
        <w:t>3GPP TSG-RAN WG1 Meeting #96</w:t>
      </w:r>
      <w:r w:rsidRPr="00BA0D2D">
        <w:tab/>
      </w:r>
      <w:r w:rsidRPr="00BA0D2D">
        <w:rPr>
          <w:sz w:val="32"/>
          <w:szCs w:val="32"/>
        </w:rPr>
        <w:t>R1-</w:t>
      </w:r>
      <w:r w:rsidR="00DA3D59" w:rsidRPr="00DA3D59">
        <w:rPr>
          <w:sz w:val="32"/>
          <w:szCs w:val="32"/>
        </w:rPr>
        <w:t xml:space="preserve"> 1903164</w:t>
      </w:r>
    </w:p>
    <w:p w14:paraId="5738C863" w14:textId="77777777" w:rsidR="00F5648C" w:rsidRPr="00BA0D2D" w:rsidRDefault="00F5648C" w:rsidP="00F5648C">
      <w:pPr>
        <w:pStyle w:val="3GPPHeader"/>
      </w:pPr>
      <w:r w:rsidRPr="00BA0D2D">
        <w:t>Athens, Greece February 25</w:t>
      </w:r>
      <w:r w:rsidRPr="00BA0D2D">
        <w:rPr>
          <w:vertAlign w:val="superscript"/>
        </w:rPr>
        <w:t>th</w:t>
      </w:r>
      <w:r w:rsidRPr="00BA0D2D">
        <w:t xml:space="preserve"> – 1</w:t>
      </w:r>
      <w:r w:rsidRPr="00BA0D2D">
        <w:rPr>
          <w:vertAlign w:val="superscript"/>
        </w:rPr>
        <w:t>st</w:t>
      </w:r>
      <w:r w:rsidRPr="00BA0D2D">
        <w:t xml:space="preserve"> March 2019</w:t>
      </w:r>
    </w:p>
    <w:p w14:paraId="60A5317D" w14:textId="77777777" w:rsidR="00E90E49" w:rsidRPr="00BA0D2D" w:rsidRDefault="00E90E49" w:rsidP="00357380">
      <w:pPr>
        <w:pStyle w:val="3GPPHeader"/>
      </w:pPr>
    </w:p>
    <w:p w14:paraId="1653A630" w14:textId="77777777" w:rsidR="00F5648C" w:rsidRPr="00BA0D2D" w:rsidRDefault="00E90E49" w:rsidP="00F5648C">
      <w:pPr>
        <w:pStyle w:val="3GPPHeader"/>
        <w:rPr>
          <w:sz w:val="22"/>
        </w:rPr>
      </w:pPr>
      <w:r w:rsidRPr="00BA0D2D">
        <w:rPr>
          <w:sz w:val="22"/>
          <w:szCs w:val="22"/>
          <w:lang w:val="en-US"/>
        </w:rPr>
        <w:t>Agenda Item:</w:t>
      </w:r>
      <w:r w:rsidRPr="00BA0D2D">
        <w:rPr>
          <w:sz w:val="22"/>
          <w:szCs w:val="22"/>
          <w:lang w:val="en-US"/>
        </w:rPr>
        <w:tab/>
      </w:r>
      <w:r w:rsidR="00F5648C" w:rsidRPr="00BA0D2D">
        <w:rPr>
          <w:sz w:val="22"/>
        </w:rPr>
        <w:t>7.2.4.1.2</w:t>
      </w:r>
    </w:p>
    <w:p w14:paraId="0CB055DD" w14:textId="31A4B229" w:rsidR="00E90E49" w:rsidRPr="00BA0D2D" w:rsidRDefault="003D3C45" w:rsidP="00F64C2B">
      <w:pPr>
        <w:pStyle w:val="3GPPHeader"/>
        <w:rPr>
          <w:sz w:val="22"/>
          <w:szCs w:val="22"/>
        </w:rPr>
      </w:pPr>
      <w:r w:rsidRPr="00BA0D2D">
        <w:rPr>
          <w:sz w:val="22"/>
          <w:szCs w:val="22"/>
        </w:rPr>
        <w:t>Source:</w:t>
      </w:r>
      <w:r w:rsidR="00E90E49" w:rsidRPr="00BA0D2D">
        <w:rPr>
          <w:sz w:val="22"/>
          <w:szCs w:val="22"/>
        </w:rPr>
        <w:tab/>
      </w:r>
      <w:r w:rsidR="00F64C2B" w:rsidRPr="00BA0D2D">
        <w:rPr>
          <w:sz w:val="22"/>
          <w:szCs w:val="22"/>
        </w:rPr>
        <w:t>Ericsson</w:t>
      </w:r>
    </w:p>
    <w:p w14:paraId="63DAB814" w14:textId="7401BD5A" w:rsidR="00E90E49" w:rsidRPr="00BA0D2D" w:rsidRDefault="003D3C45" w:rsidP="00311702">
      <w:pPr>
        <w:pStyle w:val="3GPPHeader"/>
        <w:rPr>
          <w:sz w:val="22"/>
        </w:rPr>
      </w:pPr>
      <w:r w:rsidRPr="00BA0D2D">
        <w:rPr>
          <w:sz w:val="22"/>
          <w:szCs w:val="22"/>
        </w:rPr>
        <w:t>Title:</w:t>
      </w:r>
      <w:r w:rsidR="00E90E49" w:rsidRPr="00BA0D2D">
        <w:rPr>
          <w:sz w:val="22"/>
          <w:szCs w:val="22"/>
        </w:rPr>
        <w:tab/>
      </w:r>
      <w:r w:rsidR="00F5648C" w:rsidRPr="00BA0D2D">
        <w:rPr>
          <w:sz w:val="22"/>
        </w:rPr>
        <w:t xml:space="preserve">Remaining details on PHY procedures for Rel. 16 NR V2X </w:t>
      </w:r>
    </w:p>
    <w:p w14:paraId="58D4CB54" w14:textId="77777777" w:rsidR="00E90E49" w:rsidRPr="00BA0D2D" w:rsidRDefault="00E90E49" w:rsidP="00D546FF">
      <w:pPr>
        <w:pStyle w:val="3GPPHeader"/>
        <w:rPr>
          <w:sz w:val="22"/>
          <w:szCs w:val="22"/>
        </w:rPr>
      </w:pPr>
      <w:r w:rsidRPr="00BA0D2D">
        <w:rPr>
          <w:sz w:val="22"/>
          <w:szCs w:val="22"/>
        </w:rPr>
        <w:t>Document for:</w:t>
      </w:r>
      <w:r w:rsidRPr="00BA0D2D">
        <w:rPr>
          <w:sz w:val="22"/>
          <w:szCs w:val="22"/>
        </w:rPr>
        <w:tab/>
        <w:t>Discussion, Decision</w:t>
      </w:r>
    </w:p>
    <w:p w14:paraId="09FE4FCF" w14:textId="77777777" w:rsidR="00E90E49" w:rsidRPr="00BA0D2D" w:rsidRDefault="00230D18" w:rsidP="00CE0424">
      <w:pPr>
        <w:pStyle w:val="Heading1"/>
      </w:pPr>
      <w:r w:rsidRPr="00BA0D2D">
        <w:t>1</w:t>
      </w:r>
      <w:r w:rsidRPr="00BA0D2D">
        <w:tab/>
      </w:r>
      <w:r w:rsidR="00E90E49" w:rsidRPr="00BA0D2D">
        <w:t>Introduction</w:t>
      </w:r>
    </w:p>
    <w:p w14:paraId="7C48702B" w14:textId="1CAD4AF6" w:rsidR="00477768" w:rsidRPr="00BA0D2D" w:rsidRDefault="00752699" w:rsidP="00752699">
      <w:pPr>
        <w:jc w:val="both"/>
        <w:rPr>
          <w:rFonts w:ascii="Arial" w:hAnsi="Arial"/>
        </w:rPr>
      </w:pPr>
      <w:r w:rsidRPr="00BA0D2D">
        <w:rPr>
          <w:rFonts w:ascii="Arial" w:hAnsi="Arial"/>
        </w:rPr>
        <w:t>In this contribution, we discuss the remaining PHY procedures to be concluded in Rel. 16 SI which include L1 IDs, HARQ details, multi-antenna transmission, link adaptation and power control.</w:t>
      </w:r>
    </w:p>
    <w:p w14:paraId="020415C4" w14:textId="56500A41" w:rsidR="004000E8" w:rsidRPr="00BA0D2D" w:rsidRDefault="00230D18" w:rsidP="00CE0424">
      <w:pPr>
        <w:pStyle w:val="Heading1"/>
      </w:pPr>
      <w:bookmarkStart w:id="1" w:name="_Ref178064866"/>
      <w:r w:rsidRPr="00BA0D2D">
        <w:t>2</w:t>
      </w:r>
      <w:r w:rsidRPr="00BA0D2D">
        <w:tab/>
      </w:r>
      <w:bookmarkEnd w:id="1"/>
      <w:r w:rsidR="00752699" w:rsidRPr="00BA0D2D">
        <w:t>Layer-1 IDs</w:t>
      </w:r>
    </w:p>
    <w:p w14:paraId="21B44942" w14:textId="77777777" w:rsidR="00752699" w:rsidRPr="00BA0D2D" w:rsidRDefault="00752699" w:rsidP="00752699">
      <w:pPr>
        <w:rPr>
          <w:rFonts w:ascii="Arial" w:hAnsi="Arial"/>
        </w:rPr>
      </w:pPr>
      <w:r w:rsidRPr="00BA0D2D">
        <w:rPr>
          <w:rFonts w:ascii="Arial" w:hAnsi="Arial"/>
        </w:rPr>
        <w:t>In RAN1#ah1901, the following agreements were made:</w:t>
      </w:r>
    </w:p>
    <w:tbl>
      <w:tblPr>
        <w:tblStyle w:val="TableGrid"/>
        <w:tblW w:w="0" w:type="auto"/>
        <w:tblInd w:w="-5" w:type="dxa"/>
        <w:tblLook w:val="04A0" w:firstRow="1" w:lastRow="0" w:firstColumn="1" w:lastColumn="0" w:noHBand="0" w:noVBand="1"/>
      </w:tblPr>
      <w:tblGrid>
        <w:gridCol w:w="9634"/>
      </w:tblGrid>
      <w:tr w:rsidR="00752699" w:rsidRPr="00BA0D2D" w14:paraId="555F1F7B" w14:textId="77777777" w:rsidTr="00F804BB">
        <w:tc>
          <w:tcPr>
            <w:tcW w:w="9634" w:type="dxa"/>
          </w:tcPr>
          <w:p w14:paraId="1C6B3A47" w14:textId="77777777" w:rsidR="00752699" w:rsidRPr="00BA0D2D" w:rsidRDefault="00752699" w:rsidP="00D04A17">
            <w:pPr>
              <w:spacing w:before="240"/>
              <w:rPr>
                <w:rFonts w:ascii="Arial" w:hAnsi="Arial" w:cs="Arial"/>
                <w:sz w:val="20"/>
                <w:szCs w:val="20"/>
                <w:lang w:eastAsia="x-none"/>
              </w:rPr>
            </w:pPr>
            <w:r w:rsidRPr="00072733">
              <w:rPr>
                <w:rFonts w:ascii="Arial" w:hAnsi="Arial" w:cs="Arial"/>
                <w:sz w:val="20"/>
                <w:szCs w:val="20"/>
                <w:highlight w:val="green"/>
                <w:lang w:eastAsia="x-none"/>
              </w:rPr>
              <w:t>Agreements:</w:t>
            </w:r>
          </w:p>
          <w:p w14:paraId="58A76C57" w14:textId="77777777" w:rsidR="00752699" w:rsidRPr="00BA0D2D" w:rsidRDefault="00752699" w:rsidP="00752699">
            <w:pPr>
              <w:numPr>
                <w:ilvl w:val="0"/>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Layer-1 destination ID can be explicitly included in SCI</w:t>
            </w:r>
          </w:p>
          <w:p w14:paraId="29F42870" w14:textId="77777777" w:rsidR="00752699" w:rsidRPr="00BA0D2D" w:rsidRDefault="00752699" w:rsidP="00752699">
            <w:pPr>
              <w:numPr>
                <w:ilvl w:val="1"/>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FFS how to determine Layer-1 destination ID</w:t>
            </w:r>
          </w:p>
          <w:p w14:paraId="16C01A92" w14:textId="77777777" w:rsidR="00752699" w:rsidRPr="00BA0D2D" w:rsidRDefault="00752699" w:rsidP="00752699">
            <w:pPr>
              <w:numPr>
                <w:ilvl w:val="1"/>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FFS size of Layer-1 destination ID</w:t>
            </w:r>
          </w:p>
          <w:p w14:paraId="62C80A42" w14:textId="77777777" w:rsidR="00752699" w:rsidRPr="00BA0D2D" w:rsidRDefault="00752699" w:rsidP="00752699">
            <w:pPr>
              <w:numPr>
                <w:ilvl w:val="0"/>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The following additional information can be included in SCI</w:t>
            </w:r>
          </w:p>
          <w:p w14:paraId="2F3E8129" w14:textId="77777777" w:rsidR="00752699" w:rsidRPr="00BA0D2D" w:rsidRDefault="00752699" w:rsidP="00752699">
            <w:pPr>
              <w:numPr>
                <w:ilvl w:val="1"/>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Layer-1 source ID</w:t>
            </w:r>
          </w:p>
          <w:p w14:paraId="0BEDCD0D" w14:textId="77777777" w:rsidR="00752699" w:rsidRPr="00BA0D2D" w:rsidRDefault="00752699" w:rsidP="00752699">
            <w:pPr>
              <w:numPr>
                <w:ilvl w:val="2"/>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FFS how to determine Layer-1 source ID</w:t>
            </w:r>
          </w:p>
          <w:p w14:paraId="3CE02651" w14:textId="77777777" w:rsidR="00752699" w:rsidRPr="00BA0D2D" w:rsidRDefault="00752699" w:rsidP="00752699">
            <w:pPr>
              <w:numPr>
                <w:ilvl w:val="2"/>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FFS size of Layer-1 source ID</w:t>
            </w:r>
          </w:p>
          <w:p w14:paraId="7E2ACCE9" w14:textId="77777777" w:rsidR="00752699" w:rsidRPr="00BA0D2D" w:rsidRDefault="00752699" w:rsidP="00752699">
            <w:pPr>
              <w:numPr>
                <w:ilvl w:val="1"/>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HARQ process ID</w:t>
            </w:r>
          </w:p>
          <w:p w14:paraId="4B03FE88" w14:textId="77777777" w:rsidR="00752699" w:rsidRPr="00BA0D2D" w:rsidRDefault="00752699" w:rsidP="00752699">
            <w:pPr>
              <w:numPr>
                <w:ilvl w:val="1"/>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NDI</w:t>
            </w:r>
          </w:p>
          <w:p w14:paraId="734872DB" w14:textId="77777777" w:rsidR="00752699" w:rsidRPr="00BA0D2D" w:rsidRDefault="00752699" w:rsidP="00752699">
            <w:pPr>
              <w:numPr>
                <w:ilvl w:val="1"/>
                <w:numId w:val="23"/>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RV</w:t>
            </w:r>
          </w:p>
          <w:p w14:paraId="3D6B3864" w14:textId="77777777" w:rsidR="00752699" w:rsidRPr="00BA0D2D" w:rsidRDefault="00752699" w:rsidP="00752699">
            <w:pPr>
              <w:numPr>
                <w:ilvl w:val="0"/>
                <w:numId w:val="23"/>
              </w:numPr>
              <w:overflowPunct/>
              <w:autoSpaceDE/>
              <w:autoSpaceDN/>
              <w:adjustRightInd/>
              <w:spacing w:after="160" w:line="259" w:lineRule="auto"/>
              <w:textAlignment w:val="auto"/>
              <w:rPr>
                <w:sz w:val="26"/>
                <w:szCs w:val="26"/>
              </w:rPr>
            </w:pPr>
            <w:r w:rsidRPr="00BA0D2D">
              <w:rPr>
                <w:rFonts w:ascii="Arial" w:hAnsi="Arial" w:cs="Arial"/>
                <w:sz w:val="20"/>
                <w:szCs w:val="20"/>
              </w:rPr>
              <w:t>FFS whether some of the above information may not be present etc. in some operations (e.g., depending on whether they are used for unicast, groupcast, broadcast)</w:t>
            </w:r>
          </w:p>
        </w:tc>
      </w:tr>
    </w:tbl>
    <w:p w14:paraId="4247E66B" w14:textId="751DF197" w:rsidR="00752699" w:rsidRPr="00BA0D2D" w:rsidRDefault="00752699" w:rsidP="00D04A17">
      <w:pPr>
        <w:spacing w:before="240"/>
        <w:jc w:val="both"/>
        <w:rPr>
          <w:rFonts w:ascii="Arial" w:eastAsia="Calibri" w:hAnsi="Arial" w:cs="Arial"/>
          <w:lang w:eastAsia="en-GB"/>
        </w:rPr>
      </w:pPr>
      <w:r w:rsidRPr="00BA0D2D">
        <w:rPr>
          <w:rFonts w:ascii="Arial" w:eastAsia="Calibri" w:hAnsi="Arial" w:cs="Arial"/>
          <w:lang w:eastAsia="en-GB"/>
        </w:rPr>
        <w:t xml:space="preserve">As stated above, RAN1 has agreed to convey the Layer-1 destination ID in PSCCH. In the case of unicast transmissions, clearly the ID corresponds to that of the intended receiver. In the case of groupcast transmissions, it is necessary to introduce a group destination ID. Although the agreement does not target broadcast transmissions, it may be possible that service ID of broadcast transmission is conveyed using L1 procedures. For unicast and groupcast, we believe that the Layer-1 IDs and the corresponding service mapping is agreed by the UEs during the discovery or connection establishment phase and that it is up to RAN2 to decide on the exact mapping. </w:t>
      </w:r>
    </w:p>
    <w:p w14:paraId="5B5F72F5" w14:textId="77777777" w:rsidR="00752699" w:rsidRPr="00BA0D2D" w:rsidRDefault="00752699" w:rsidP="00752699">
      <w:pPr>
        <w:pStyle w:val="Observation"/>
        <w:overflowPunct/>
        <w:autoSpaceDE/>
        <w:autoSpaceDN/>
        <w:adjustRightInd/>
        <w:spacing w:line="259" w:lineRule="auto"/>
        <w:jc w:val="left"/>
        <w:textAlignment w:val="auto"/>
      </w:pPr>
      <w:bookmarkStart w:id="2" w:name="_Toc528950781"/>
      <w:bookmarkStart w:id="3" w:name="_Ref534699759"/>
      <w:bookmarkStart w:id="4" w:name="_Ref534699767"/>
      <w:bookmarkStart w:id="5" w:name="_Ref534700652"/>
      <w:bookmarkStart w:id="6" w:name="_Ref534809905"/>
      <w:bookmarkStart w:id="7" w:name="_Ref534809918"/>
      <w:bookmarkStart w:id="8" w:name="_Ref534809950"/>
      <w:bookmarkStart w:id="9" w:name="_Ref534809966"/>
      <w:bookmarkStart w:id="10" w:name="_Toc534809986"/>
      <w:bookmarkStart w:id="11" w:name="_Toc534809989"/>
      <w:bookmarkStart w:id="12" w:name="_Toc1039777"/>
      <w:bookmarkStart w:id="13" w:name="_Toc1120563"/>
      <w:r w:rsidRPr="00BA0D2D">
        <w:rPr>
          <w:lang w:eastAsia="zh-CN"/>
        </w:rPr>
        <w:lastRenderedPageBreak/>
        <w:t>The mapping of Layer-1 IDs and corresponding service is done by higher layer during the discovery or connection establishment phase for unicast and groupcast.</w:t>
      </w:r>
      <w:bookmarkEnd w:id="2"/>
      <w:bookmarkEnd w:id="3"/>
      <w:bookmarkEnd w:id="4"/>
      <w:bookmarkEnd w:id="5"/>
      <w:bookmarkEnd w:id="6"/>
      <w:bookmarkEnd w:id="7"/>
      <w:bookmarkEnd w:id="8"/>
      <w:bookmarkEnd w:id="9"/>
      <w:bookmarkEnd w:id="10"/>
      <w:bookmarkEnd w:id="11"/>
      <w:bookmarkEnd w:id="12"/>
      <w:bookmarkEnd w:id="13"/>
    </w:p>
    <w:p w14:paraId="77CA03E8" w14:textId="77777777" w:rsidR="00752699" w:rsidRPr="00BA0D2D" w:rsidRDefault="00752699" w:rsidP="00752699">
      <w:pPr>
        <w:rPr>
          <w:rFonts w:ascii="Arial" w:eastAsia="Calibri" w:hAnsi="Arial" w:cs="Arial"/>
          <w:lang w:eastAsia="en-GB"/>
        </w:rPr>
      </w:pPr>
      <w:r w:rsidRPr="00BA0D2D">
        <w:rPr>
          <w:rFonts w:ascii="Arial" w:eastAsia="Calibri" w:hAnsi="Arial" w:cs="Arial"/>
          <w:lang w:eastAsia="en-GB"/>
        </w:rPr>
        <w:t>It is also to be noted that RAN2 is still discussing the need of Layer-2 ID in MAC header and once it is settled in RAN2, it will be easier to make progress on the exact size and determination of Layer-1 IDs.</w:t>
      </w:r>
    </w:p>
    <w:p w14:paraId="1C04D27F" w14:textId="2E00F0AD"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rPr>
          <w:lang w:eastAsia="en-GB"/>
        </w:rPr>
      </w:pPr>
      <w:bookmarkStart w:id="14" w:name="_Toc1039764"/>
      <w:bookmarkStart w:id="15" w:name="_Toc1120550"/>
      <w:r w:rsidRPr="00BA0D2D">
        <w:rPr>
          <w:lang w:eastAsia="en-GB"/>
        </w:rPr>
        <w:t>Discuss the size and determination of Layer-1 IDs during the WI and based on RAN2 progress.</w:t>
      </w:r>
      <w:bookmarkEnd w:id="14"/>
      <w:bookmarkEnd w:id="15"/>
      <w:r w:rsidRPr="00BA0D2D">
        <w:rPr>
          <w:lang w:eastAsia="en-GB"/>
        </w:rPr>
        <w:t xml:space="preserve">  </w:t>
      </w:r>
    </w:p>
    <w:p w14:paraId="220ED9DD" w14:textId="098593C4" w:rsidR="00752699" w:rsidRPr="00BA0D2D" w:rsidRDefault="00752699" w:rsidP="00752699">
      <w:pPr>
        <w:pStyle w:val="Heading1"/>
      </w:pPr>
      <w:r w:rsidRPr="00BA0D2D">
        <w:t>3</w:t>
      </w:r>
      <w:r w:rsidRPr="00BA0D2D">
        <w:tab/>
        <w:t>HARQ feedback</w:t>
      </w:r>
    </w:p>
    <w:p w14:paraId="00090319" w14:textId="77777777" w:rsidR="00752699" w:rsidRPr="00BA0D2D" w:rsidRDefault="00752699" w:rsidP="00752699">
      <w:pPr>
        <w:rPr>
          <w:rFonts w:ascii="Arial" w:hAnsi="Arial" w:cs="Arial"/>
        </w:rPr>
      </w:pPr>
      <w:r w:rsidRPr="00BA0D2D">
        <w:rPr>
          <w:rFonts w:ascii="Arial" w:hAnsi="Arial" w:cs="Arial"/>
        </w:rPr>
        <w:t>In RAN1#95, the following was agreed:</w:t>
      </w:r>
    </w:p>
    <w:tbl>
      <w:tblPr>
        <w:tblStyle w:val="TableGrid"/>
        <w:tblW w:w="0" w:type="auto"/>
        <w:tblLook w:val="04A0" w:firstRow="1" w:lastRow="0" w:firstColumn="1" w:lastColumn="0" w:noHBand="0" w:noVBand="1"/>
      </w:tblPr>
      <w:tblGrid>
        <w:gridCol w:w="9629"/>
      </w:tblGrid>
      <w:tr w:rsidR="00752699" w:rsidRPr="00BA0D2D" w14:paraId="456D0A11" w14:textId="77777777" w:rsidTr="00F804BB">
        <w:tc>
          <w:tcPr>
            <w:tcW w:w="9629" w:type="dxa"/>
          </w:tcPr>
          <w:p w14:paraId="74C88F06" w14:textId="77777777" w:rsidR="00752699" w:rsidRPr="00BA0D2D" w:rsidRDefault="00752699" w:rsidP="00F804BB">
            <w:pPr>
              <w:pStyle w:val="LGTdoc"/>
              <w:spacing w:before="100" w:beforeAutospacing="1" w:after="120"/>
              <w:rPr>
                <w:rFonts w:ascii="Arial" w:hAnsi="Arial" w:cs="Arial"/>
                <w:sz w:val="20"/>
                <w:szCs w:val="20"/>
                <w:lang w:eastAsia="en-GB"/>
              </w:rPr>
            </w:pPr>
            <w:r w:rsidRPr="00072733">
              <w:rPr>
                <w:rFonts w:ascii="Arial" w:eastAsia="Calibri" w:hAnsi="Arial" w:cs="Arial"/>
                <w:kern w:val="0"/>
                <w:sz w:val="20"/>
                <w:szCs w:val="20"/>
                <w:highlight w:val="green"/>
                <w:lang w:eastAsia="en-GB"/>
              </w:rPr>
              <w:t>Agreements:</w:t>
            </w:r>
          </w:p>
          <w:p w14:paraId="4D23DB2E" w14:textId="77777777" w:rsidR="00752699" w:rsidRPr="00BA0D2D" w:rsidRDefault="00752699" w:rsidP="00752699">
            <w:pPr>
              <w:pStyle w:val="LGTdoc"/>
              <w:numPr>
                <w:ilvl w:val="0"/>
                <w:numId w:val="30"/>
              </w:numPr>
              <w:spacing w:before="100" w:beforeAutospacing="1" w:afterLines="0" w:after="60"/>
              <w:rPr>
                <w:rFonts w:ascii="Arial" w:hAnsi="Arial" w:cs="Arial"/>
                <w:sz w:val="20"/>
                <w:szCs w:val="20"/>
                <w:lang w:eastAsia="en-GB"/>
              </w:rPr>
            </w:pPr>
            <w:r w:rsidRPr="00BA0D2D">
              <w:rPr>
                <w:rFonts w:ascii="Arial" w:eastAsia="Calibri" w:hAnsi="Arial" w:cs="Arial"/>
                <w:kern w:val="0"/>
                <w:sz w:val="20"/>
                <w:szCs w:val="20"/>
                <w:lang w:eastAsia="en-GB"/>
              </w:rPr>
              <w:t>When SL HARQ feedback is enabled for unicast, the following operation is supported for the non-CBG case:</w:t>
            </w:r>
          </w:p>
          <w:p w14:paraId="739C60E1" w14:textId="77777777" w:rsidR="00752699" w:rsidRPr="00BA0D2D" w:rsidRDefault="00752699" w:rsidP="00752699">
            <w:pPr>
              <w:numPr>
                <w:ilvl w:val="1"/>
                <w:numId w:val="28"/>
              </w:numPr>
              <w:overflowPunct/>
              <w:autoSpaceDE/>
              <w:autoSpaceDN/>
              <w:adjustRightInd/>
              <w:spacing w:after="160" w:line="259" w:lineRule="auto"/>
              <w:textAlignment w:val="auto"/>
              <w:rPr>
                <w:rFonts w:ascii="Arial" w:hAnsi="Arial" w:cs="Arial"/>
                <w:sz w:val="20"/>
                <w:szCs w:val="20"/>
                <w:lang w:eastAsia="en-GB"/>
              </w:rPr>
            </w:pPr>
            <w:r w:rsidRPr="00BA0D2D">
              <w:rPr>
                <w:rFonts w:ascii="Arial" w:hAnsi="Arial" w:cs="Arial"/>
                <w:sz w:val="20"/>
                <w:szCs w:val="20"/>
                <w:lang w:eastAsia="en-GB"/>
              </w:rPr>
              <w:t>Receiver UE generates HARQ-ACK if it successfully decodes the corresponding TB. It generates HARQ-NACK if it does not successfully decode the corresponding TB after decoding the associated PSCCH which targets the receiver UE.</w:t>
            </w:r>
          </w:p>
          <w:p w14:paraId="513D8A87" w14:textId="77777777" w:rsidR="00752699" w:rsidRPr="00BA0D2D" w:rsidRDefault="00752699" w:rsidP="00752699">
            <w:pPr>
              <w:numPr>
                <w:ilvl w:val="1"/>
                <w:numId w:val="28"/>
              </w:numPr>
              <w:overflowPunct/>
              <w:autoSpaceDE/>
              <w:autoSpaceDN/>
              <w:adjustRightInd/>
              <w:spacing w:after="160" w:line="259" w:lineRule="auto"/>
              <w:textAlignment w:val="auto"/>
              <w:rPr>
                <w:rFonts w:ascii="Arial" w:hAnsi="Arial" w:cs="Arial"/>
                <w:sz w:val="20"/>
                <w:szCs w:val="20"/>
                <w:lang w:eastAsia="en-GB"/>
              </w:rPr>
            </w:pPr>
            <w:r w:rsidRPr="00BA0D2D">
              <w:rPr>
                <w:rFonts w:ascii="Arial" w:hAnsi="Arial" w:cs="Arial"/>
                <w:sz w:val="20"/>
                <w:szCs w:val="20"/>
                <w:lang w:eastAsia="en-GB"/>
              </w:rPr>
              <w:t>FFS whether to support SL HARQ feedback per CBG</w:t>
            </w:r>
          </w:p>
          <w:p w14:paraId="40F8415F" w14:textId="77777777" w:rsidR="00752699" w:rsidRPr="00BA0D2D" w:rsidRDefault="00752699" w:rsidP="00F804BB">
            <w:pPr>
              <w:pStyle w:val="LGTdoc"/>
              <w:spacing w:before="100" w:beforeAutospacing="1" w:afterLines="0" w:after="60"/>
              <w:rPr>
                <w:rFonts w:ascii="Arial" w:eastAsia="Calibri" w:hAnsi="Arial" w:cs="Arial"/>
                <w:kern w:val="0"/>
                <w:sz w:val="20"/>
                <w:szCs w:val="20"/>
                <w:lang w:eastAsia="en-GB"/>
              </w:rPr>
            </w:pPr>
            <w:r w:rsidRPr="00072733">
              <w:rPr>
                <w:rFonts w:ascii="Arial" w:eastAsia="Calibri" w:hAnsi="Arial" w:cs="Arial"/>
                <w:kern w:val="0"/>
                <w:sz w:val="20"/>
                <w:szCs w:val="20"/>
                <w:highlight w:val="green"/>
                <w:lang w:eastAsia="en-GB"/>
              </w:rPr>
              <w:t>Agreements:</w:t>
            </w:r>
          </w:p>
          <w:p w14:paraId="0EF0BBAC" w14:textId="77777777" w:rsidR="00752699" w:rsidRPr="00BA0D2D" w:rsidRDefault="00752699" w:rsidP="00752699">
            <w:pPr>
              <w:pStyle w:val="LGTdoc"/>
              <w:numPr>
                <w:ilvl w:val="0"/>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When SL HARQ feedback is enabled f</w:t>
            </w:r>
            <w:r w:rsidRPr="00BA0D2D">
              <w:rPr>
                <w:rFonts w:ascii="Arial" w:eastAsia="Calibri" w:hAnsi="Arial" w:cs="Arial"/>
                <w:kern w:val="0"/>
                <w:sz w:val="20"/>
                <w:szCs w:val="20"/>
                <w:lang w:eastAsia="en-GB"/>
              </w:rPr>
              <w:t xml:space="preserve">or groupcast, </w:t>
            </w:r>
            <w:r w:rsidRPr="00BA0D2D">
              <w:rPr>
                <w:rFonts w:ascii="Arial" w:eastAsia="Calibri" w:hAnsi="Arial" w:cs="Arial" w:hint="eastAsia"/>
                <w:kern w:val="0"/>
                <w:sz w:val="20"/>
                <w:szCs w:val="20"/>
                <w:lang w:eastAsia="en-GB"/>
              </w:rPr>
              <w:t xml:space="preserve">the following </w:t>
            </w:r>
            <w:r w:rsidRPr="00BA0D2D">
              <w:rPr>
                <w:rFonts w:ascii="Arial" w:eastAsia="Calibri" w:hAnsi="Arial" w:cs="Arial"/>
                <w:kern w:val="0"/>
                <w:sz w:val="20"/>
                <w:szCs w:val="20"/>
                <w:lang w:eastAsia="en-GB"/>
              </w:rPr>
              <w:t>operation</w:t>
            </w:r>
            <w:r w:rsidRPr="00BA0D2D">
              <w:rPr>
                <w:rFonts w:ascii="Arial" w:eastAsia="Calibri" w:hAnsi="Arial" w:cs="Arial" w:hint="eastAsia"/>
                <w:kern w:val="0"/>
                <w:sz w:val="20"/>
                <w:szCs w:val="20"/>
                <w:lang w:eastAsia="en-GB"/>
              </w:rPr>
              <w:t>s are further studied for the non-CBG case:</w:t>
            </w:r>
          </w:p>
          <w:p w14:paraId="445C6703" w14:textId="77777777" w:rsidR="00752699" w:rsidRPr="00BA0D2D" w:rsidRDefault="00752699" w:rsidP="00752699">
            <w:pPr>
              <w:pStyle w:val="LGTdoc"/>
              <w:numPr>
                <w:ilvl w:val="1"/>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Option 1: R</w:t>
            </w:r>
            <w:r w:rsidRPr="00BA0D2D">
              <w:rPr>
                <w:rFonts w:ascii="Arial" w:eastAsia="Calibri" w:hAnsi="Arial" w:cs="Arial"/>
                <w:kern w:val="0"/>
                <w:sz w:val="20"/>
                <w:szCs w:val="20"/>
                <w:lang w:eastAsia="en-GB"/>
              </w:rPr>
              <w:t xml:space="preserve">eceiver UE transmits HARQ-NACK on PSFCH if it fails to decode the corresponding </w:t>
            </w:r>
            <w:r w:rsidRPr="00BA0D2D">
              <w:rPr>
                <w:rFonts w:ascii="Arial" w:eastAsia="Calibri" w:hAnsi="Arial" w:cs="Arial" w:hint="eastAsia"/>
                <w:kern w:val="0"/>
                <w:sz w:val="20"/>
                <w:szCs w:val="20"/>
                <w:lang w:eastAsia="en-GB"/>
              </w:rPr>
              <w:t>TB after decoding the associated PSCCH</w:t>
            </w:r>
            <w:r w:rsidRPr="00BA0D2D">
              <w:rPr>
                <w:rFonts w:ascii="Arial" w:eastAsia="Calibri" w:hAnsi="Arial" w:cs="Arial"/>
                <w:kern w:val="0"/>
                <w:sz w:val="20"/>
                <w:szCs w:val="20"/>
                <w:lang w:eastAsia="en-GB"/>
              </w:rPr>
              <w:t>. It transmits no signal on PSFCH otherwise. Details are FFS including the following</w:t>
            </w:r>
            <w:r w:rsidRPr="00BA0D2D">
              <w:rPr>
                <w:rFonts w:ascii="Arial" w:eastAsia="Calibri" w:hAnsi="Arial" w:cs="Arial" w:hint="eastAsia"/>
                <w:kern w:val="0"/>
                <w:sz w:val="20"/>
                <w:szCs w:val="20"/>
                <w:lang w:eastAsia="en-GB"/>
              </w:rPr>
              <w:t>:</w:t>
            </w:r>
          </w:p>
          <w:p w14:paraId="27E8BA67" w14:textId="77777777" w:rsidR="00752699" w:rsidRPr="00BA0D2D" w:rsidRDefault="00752699" w:rsidP="00752699">
            <w:pPr>
              <w:pStyle w:val="LGTdoc"/>
              <w:numPr>
                <w:ilvl w:val="2"/>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Whether to introduce an additional criterion in deciding HARQ-NACK transmission</w:t>
            </w:r>
          </w:p>
          <w:p w14:paraId="2643D2DE" w14:textId="77777777" w:rsidR="00752699" w:rsidRPr="00BA0D2D" w:rsidRDefault="00752699" w:rsidP="00752699">
            <w:pPr>
              <w:pStyle w:val="LGTdoc"/>
              <w:numPr>
                <w:ilvl w:val="2"/>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kern w:val="0"/>
                <w:sz w:val="20"/>
                <w:szCs w:val="20"/>
                <w:lang w:eastAsia="en-GB"/>
              </w:rPr>
              <w:t>Whether/how to handle DTX issue (i.e., transmitter UE cannot recognize the case that a receiver UE misses PSCCH scheduling PSSCH)</w:t>
            </w:r>
          </w:p>
          <w:p w14:paraId="12FD5323" w14:textId="77777777" w:rsidR="00752699" w:rsidRPr="00BA0D2D" w:rsidRDefault="00752699" w:rsidP="00752699">
            <w:pPr>
              <w:pStyle w:val="LGTdoc"/>
              <w:numPr>
                <w:ilvl w:val="2"/>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 xml:space="preserve">Issues when </w:t>
            </w:r>
            <w:r w:rsidRPr="00BA0D2D">
              <w:rPr>
                <w:rFonts w:ascii="Arial" w:eastAsia="Calibri" w:hAnsi="Arial" w:cs="Arial"/>
                <w:kern w:val="0"/>
                <w:sz w:val="20"/>
                <w:szCs w:val="20"/>
                <w:lang w:eastAsia="en-GB"/>
              </w:rPr>
              <w:t>multiple</w:t>
            </w:r>
            <w:r w:rsidRPr="00BA0D2D">
              <w:rPr>
                <w:rFonts w:ascii="Arial" w:eastAsia="Calibri" w:hAnsi="Arial" w:cs="Arial" w:hint="eastAsia"/>
                <w:kern w:val="0"/>
                <w:sz w:val="20"/>
                <w:szCs w:val="20"/>
                <w:lang w:eastAsia="en-GB"/>
              </w:rPr>
              <w:t xml:space="preserve"> receiver UEs transmit HARQ-NACK on the same resource</w:t>
            </w:r>
          </w:p>
          <w:p w14:paraId="1B6B19F1" w14:textId="77777777" w:rsidR="00752699" w:rsidRPr="00BA0D2D" w:rsidRDefault="00752699" w:rsidP="00752699">
            <w:pPr>
              <w:pStyle w:val="LGTdoc"/>
              <w:numPr>
                <w:ilvl w:val="3"/>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kern w:val="0"/>
                <w:sz w:val="20"/>
                <w:szCs w:val="20"/>
                <w:lang w:eastAsia="en-GB"/>
              </w:rPr>
              <w:t xml:space="preserve">How </w:t>
            </w:r>
            <w:r w:rsidRPr="00BA0D2D">
              <w:rPr>
                <w:rFonts w:ascii="Arial" w:eastAsia="Calibri" w:hAnsi="Arial" w:cs="Arial" w:hint="eastAsia"/>
                <w:kern w:val="0"/>
                <w:sz w:val="20"/>
                <w:szCs w:val="20"/>
                <w:lang w:eastAsia="en-GB"/>
              </w:rPr>
              <w:t xml:space="preserve">to </w:t>
            </w:r>
            <w:r w:rsidRPr="00BA0D2D">
              <w:rPr>
                <w:rFonts w:ascii="Arial" w:eastAsia="Calibri" w:hAnsi="Arial" w:cs="Arial"/>
                <w:kern w:val="0"/>
                <w:sz w:val="20"/>
                <w:szCs w:val="20"/>
                <w:lang w:eastAsia="en-GB"/>
              </w:rPr>
              <w:t>determine the presence of HARQ-NACK transmissions from receiver UEs</w:t>
            </w:r>
          </w:p>
          <w:p w14:paraId="76CEFD2D" w14:textId="77777777" w:rsidR="00752699" w:rsidRPr="00BA0D2D" w:rsidRDefault="00752699" w:rsidP="00752699">
            <w:pPr>
              <w:pStyle w:val="LGTdoc"/>
              <w:numPr>
                <w:ilvl w:val="3"/>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kern w:val="0"/>
                <w:sz w:val="20"/>
                <w:szCs w:val="20"/>
                <w:lang w:eastAsia="en-GB"/>
              </w:rPr>
              <w:t>Whether/how to handle destructive channel sum effect of HARQ-NACK transmissions from multiple receiver UEs</w:t>
            </w:r>
            <w:r w:rsidRPr="00BA0D2D">
              <w:rPr>
                <w:rFonts w:ascii="Arial" w:eastAsia="Calibri" w:hAnsi="Arial" w:cs="Arial" w:hint="eastAsia"/>
                <w:kern w:val="0"/>
                <w:sz w:val="20"/>
                <w:szCs w:val="20"/>
                <w:lang w:eastAsia="en-GB"/>
              </w:rPr>
              <w:t xml:space="preserve"> if the same signal is used</w:t>
            </w:r>
          </w:p>
          <w:p w14:paraId="7DD3A440" w14:textId="77777777" w:rsidR="00752699" w:rsidRPr="00BA0D2D" w:rsidRDefault="00752699" w:rsidP="00752699">
            <w:pPr>
              <w:pStyle w:val="LGTdoc"/>
              <w:numPr>
                <w:ilvl w:val="1"/>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Option 2: R</w:t>
            </w:r>
            <w:r w:rsidRPr="00BA0D2D">
              <w:rPr>
                <w:rFonts w:ascii="Arial" w:eastAsia="Calibri" w:hAnsi="Arial" w:cs="Arial"/>
                <w:kern w:val="0"/>
                <w:sz w:val="20"/>
                <w:szCs w:val="20"/>
                <w:lang w:eastAsia="en-GB"/>
              </w:rPr>
              <w:t xml:space="preserve">eceiver UE </w:t>
            </w:r>
            <w:r w:rsidRPr="00BA0D2D">
              <w:rPr>
                <w:rFonts w:ascii="Arial" w:eastAsia="Calibri" w:hAnsi="Arial" w:cs="Arial" w:hint="eastAsia"/>
                <w:kern w:val="0"/>
                <w:sz w:val="20"/>
                <w:szCs w:val="20"/>
                <w:lang w:eastAsia="en-GB"/>
              </w:rPr>
              <w:t>transmit</w:t>
            </w:r>
            <w:r w:rsidRPr="00BA0D2D">
              <w:rPr>
                <w:rFonts w:ascii="Arial" w:eastAsia="Calibri" w:hAnsi="Arial" w:cs="Arial"/>
                <w:kern w:val="0"/>
                <w:sz w:val="20"/>
                <w:szCs w:val="20"/>
                <w:lang w:eastAsia="en-GB"/>
              </w:rPr>
              <w:t xml:space="preserve">s HARQ-ACK on PSFCH </w:t>
            </w:r>
            <w:r w:rsidRPr="00BA0D2D">
              <w:rPr>
                <w:rFonts w:ascii="Arial" w:eastAsia="Calibri" w:hAnsi="Arial" w:cs="Arial" w:hint="eastAsia"/>
                <w:kern w:val="0"/>
                <w:sz w:val="20"/>
                <w:szCs w:val="20"/>
                <w:lang w:eastAsia="en-GB"/>
              </w:rPr>
              <w:t xml:space="preserve">if it </w:t>
            </w:r>
            <w:r w:rsidRPr="00BA0D2D">
              <w:rPr>
                <w:rFonts w:ascii="Arial" w:eastAsia="Calibri" w:hAnsi="Arial" w:cs="Arial"/>
                <w:kern w:val="0"/>
                <w:sz w:val="20"/>
                <w:szCs w:val="20"/>
                <w:lang w:eastAsia="en-GB"/>
              </w:rPr>
              <w:t>successfully</w:t>
            </w:r>
            <w:r w:rsidRPr="00BA0D2D">
              <w:rPr>
                <w:rFonts w:ascii="Arial" w:eastAsia="Calibri" w:hAnsi="Arial" w:cs="Arial" w:hint="eastAsia"/>
                <w:kern w:val="0"/>
                <w:sz w:val="20"/>
                <w:szCs w:val="20"/>
                <w:lang w:eastAsia="en-GB"/>
              </w:rPr>
              <w:t xml:space="preserve"> decodes the corresponding TB. It transmits </w:t>
            </w:r>
            <w:r w:rsidRPr="00BA0D2D">
              <w:rPr>
                <w:rFonts w:ascii="Arial" w:eastAsia="Calibri" w:hAnsi="Arial" w:cs="Arial"/>
                <w:kern w:val="0"/>
                <w:sz w:val="20"/>
                <w:szCs w:val="20"/>
                <w:lang w:eastAsia="en-GB"/>
              </w:rPr>
              <w:t>HARQ-NACK</w:t>
            </w:r>
            <w:r w:rsidRPr="00BA0D2D">
              <w:rPr>
                <w:rFonts w:ascii="Arial" w:eastAsia="Calibri" w:hAnsi="Arial" w:cs="Arial" w:hint="eastAsia"/>
                <w:kern w:val="0"/>
                <w:sz w:val="20"/>
                <w:szCs w:val="20"/>
                <w:lang w:eastAsia="en-GB"/>
              </w:rPr>
              <w:t xml:space="preserve"> </w:t>
            </w:r>
            <w:r w:rsidRPr="00BA0D2D">
              <w:rPr>
                <w:rFonts w:ascii="Arial" w:eastAsia="Calibri" w:hAnsi="Arial" w:cs="Arial"/>
                <w:kern w:val="0"/>
                <w:sz w:val="20"/>
                <w:szCs w:val="20"/>
                <w:lang w:eastAsia="en-GB"/>
              </w:rPr>
              <w:t xml:space="preserve">on PSFCH if it </w:t>
            </w:r>
            <w:r w:rsidRPr="00BA0D2D">
              <w:rPr>
                <w:rFonts w:ascii="Arial" w:eastAsia="Calibri" w:hAnsi="Arial" w:cs="Arial" w:hint="eastAsia"/>
                <w:kern w:val="0"/>
                <w:sz w:val="20"/>
                <w:szCs w:val="20"/>
                <w:lang w:eastAsia="en-GB"/>
              </w:rPr>
              <w:t>does not successfully</w:t>
            </w:r>
            <w:r w:rsidRPr="00BA0D2D">
              <w:rPr>
                <w:rFonts w:ascii="Arial" w:eastAsia="Calibri" w:hAnsi="Arial" w:cs="Arial"/>
                <w:kern w:val="0"/>
                <w:sz w:val="20"/>
                <w:szCs w:val="20"/>
                <w:lang w:eastAsia="en-GB"/>
              </w:rPr>
              <w:t xml:space="preserve"> decode the corresponding </w:t>
            </w:r>
            <w:r w:rsidRPr="00BA0D2D">
              <w:rPr>
                <w:rFonts w:ascii="Arial" w:eastAsia="Calibri" w:hAnsi="Arial" w:cs="Arial" w:hint="eastAsia"/>
                <w:kern w:val="0"/>
                <w:sz w:val="20"/>
                <w:szCs w:val="20"/>
                <w:lang w:eastAsia="en-GB"/>
              </w:rPr>
              <w:t xml:space="preserve">TB after decoding the associated PSCCH which targets the receiver UE. </w:t>
            </w:r>
            <w:r w:rsidRPr="00BA0D2D">
              <w:rPr>
                <w:rFonts w:ascii="Arial" w:eastAsia="Calibri" w:hAnsi="Arial" w:cs="Arial"/>
                <w:kern w:val="0"/>
                <w:sz w:val="20"/>
                <w:szCs w:val="20"/>
                <w:lang w:eastAsia="en-GB"/>
              </w:rPr>
              <w:t>Details are FFS including the following</w:t>
            </w:r>
            <w:r w:rsidRPr="00BA0D2D">
              <w:rPr>
                <w:rFonts w:ascii="Arial" w:eastAsia="Calibri" w:hAnsi="Arial" w:cs="Arial" w:hint="eastAsia"/>
                <w:kern w:val="0"/>
                <w:sz w:val="20"/>
                <w:szCs w:val="20"/>
                <w:lang w:eastAsia="en-GB"/>
              </w:rPr>
              <w:t>:</w:t>
            </w:r>
          </w:p>
          <w:p w14:paraId="3B5123A9" w14:textId="77777777" w:rsidR="00752699" w:rsidRPr="00BA0D2D" w:rsidRDefault="00752699" w:rsidP="00752699">
            <w:pPr>
              <w:pStyle w:val="LGTdoc"/>
              <w:numPr>
                <w:ilvl w:val="2"/>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Whether to introduce an additional criterion in deciding HARQ-ACK/NACK transmission</w:t>
            </w:r>
          </w:p>
          <w:p w14:paraId="32D1E057" w14:textId="77777777" w:rsidR="00752699" w:rsidRPr="00BA0D2D" w:rsidRDefault="00752699" w:rsidP="00752699">
            <w:pPr>
              <w:pStyle w:val="LGTdoc"/>
              <w:numPr>
                <w:ilvl w:val="2"/>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How to determine the PSFCH resource used by each receiver UE</w:t>
            </w:r>
          </w:p>
          <w:p w14:paraId="38982A32" w14:textId="77777777" w:rsidR="00752699" w:rsidRPr="00BA0D2D" w:rsidRDefault="00752699" w:rsidP="00752699">
            <w:pPr>
              <w:pStyle w:val="LGTdoc"/>
              <w:numPr>
                <w:ilvl w:val="1"/>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hint="eastAsia"/>
                <w:kern w:val="0"/>
                <w:sz w:val="20"/>
                <w:szCs w:val="20"/>
                <w:lang w:eastAsia="en-GB"/>
              </w:rPr>
              <w:t>FFS whether to support SL HARQ feedback per CBG</w:t>
            </w:r>
          </w:p>
          <w:p w14:paraId="409789AB" w14:textId="77777777" w:rsidR="00752699" w:rsidRPr="00BA0D2D" w:rsidRDefault="00752699" w:rsidP="00752699">
            <w:pPr>
              <w:pStyle w:val="LGTdoc"/>
              <w:numPr>
                <w:ilvl w:val="1"/>
                <w:numId w:val="30"/>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kern w:val="0"/>
                <w:sz w:val="20"/>
                <w:szCs w:val="20"/>
                <w:lang w:eastAsia="en-GB"/>
              </w:rPr>
              <w:lastRenderedPageBreak/>
              <w:t>Other options are not precluded</w:t>
            </w:r>
          </w:p>
          <w:p w14:paraId="1089463B" w14:textId="77777777" w:rsidR="00752699" w:rsidRPr="00BA0D2D" w:rsidRDefault="00752699" w:rsidP="00F804BB">
            <w:pPr>
              <w:pStyle w:val="LGTdoc"/>
              <w:spacing w:before="100" w:beforeAutospacing="1" w:afterLines="0" w:after="60"/>
              <w:rPr>
                <w:rFonts w:ascii="Arial" w:eastAsia="Calibri" w:hAnsi="Arial" w:cs="Arial"/>
                <w:kern w:val="0"/>
                <w:sz w:val="20"/>
                <w:szCs w:val="20"/>
                <w:lang w:eastAsia="en-GB"/>
              </w:rPr>
            </w:pPr>
            <w:r w:rsidRPr="00072733">
              <w:rPr>
                <w:rFonts w:ascii="Arial" w:eastAsia="Calibri" w:hAnsi="Arial" w:cs="Arial"/>
                <w:kern w:val="0"/>
                <w:sz w:val="20"/>
                <w:szCs w:val="20"/>
                <w:highlight w:val="green"/>
                <w:lang w:eastAsia="en-GB"/>
              </w:rPr>
              <w:t>Agreements:</w:t>
            </w:r>
          </w:p>
          <w:p w14:paraId="7D58087E" w14:textId="77777777" w:rsidR="00752699" w:rsidRPr="00BA0D2D" w:rsidRDefault="00752699" w:rsidP="00752699">
            <w:pPr>
              <w:pStyle w:val="LGTdoc"/>
              <w:numPr>
                <w:ilvl w:val="0"/>
                <w:numId w:val="31"/>
              </w:numPr>
              <w:spacing w:before="100" w:beforeAutospacing="1" w:afterLines="0" w:after="60"/>
              <w:rPr>
                <w:rFonts w:ascii="Arial" w:eastAsia="Calibri" w:hAnsi="Arial" w:cs="Arial"/>
                <w:kern w:val="0"/>
                <w:sz w:val="20"/>
                <w:szCs w:val="20"/>
                <w:lang w:eastAsia="en-GB"/>
              </w:rPr>
            </w:pPr>
            <w:r w:rsidRPr="00BA0D2D">
              <w:rPr>
                <w:rFonts w:ascii="Arial" w:eastAsia="Calibri" w:hAnsi="Arial" w:cs="Arial"/>
                <w:kern w:val="0"/>
                <w:sz w:val="20"/>
                <w:szCs w:val="20"/>
                <w:lang w:eastAsia="en-GB"/>
              </w:rPr>
              <w:t xml:space="preserve">It is supported to enable </w:t>
            </w:r>
            <w:r w:rsidRPr="00BA0D2D">
              <w:rPr>
                <w:rFonts w:ascii="Arial" w:eastAsia="Calibri" w:hAnsi="Arial" w:cs="Arial" w:hint="eastAsia"/>
                <w:kern w:val="0"/>
                <w:sz w:val="20"/>
                <w:szCs w:val="20"/>
                <w:lang w:eastAsia="en-GB"/>
              </w:rPr>
              <w:t>and</w:t>
            </w:r>
            <w:r w:rsidRPr="00BA0D2D">
              <w:rPr>
                <w:rFonts w:ascii="Arial" w:eastAsia="Calibri" w:hAnsi="Arial" w:cs="Arial"/>
                <w:kern w:val="0"/>
                <w:sz w:val="20"/>
                <w:szCs w:val="20"/>
                <w:lang w:eastAsia="en-GB"/>
              </w:rPr>
              <w:t xml:space="preserve"> disable SL HARQ feedback</w:t>
            </w:r>
            <w:r w:rsidRPr="00BA0D2D">
              <w:rPr>
                <w:rFonts w:ascii="Arial" w:eastAsia="Calibri" w:hAnsi="Arial" w:cs="Arial" w:hint="eastAsia"/>
                <w:kern w:val="0"/>
                <w:sz w:val="20"/>
                <w:szCs w:val="20"/>
                <w:lang w:eastAsia="en-GB"/>
              </w:rPr>
              <w:t xml:space="preserve"> in unicast and groupcast</w:t>
            </w:r>
            <w:r w:rsidRPr="00BA0D2D">
              <w:rPr>
                <w:rFonts w:ascii="Arial" w:eastAsia="Calibri" w:hAnsi="Arial" w:cs="Arial"/>
                <w:kern w:val="0"/>
                <w:sz w:val="20"/>
                <w:szCs w:val="20"/>
                <w:lang w:eastAsia="en-GB"/>
              </w:rPr>
              <w:t>.</w:t>
            </w:r>
          </w:p>
          <w:p w14:paraId="354AB96B" w14:textId="77777777" w:rsidR="00752699" w:rsidRPr="00BA0D2D" w:rsidRDefault="00752699" w:rsidP="00752699">
            <w:pPr>
              <w:pStyle w:val="LGTdoc"/>
              <w:numPr>
                <w:ilvl w:val="1"/>
                <w:numId w:val="31"/>
              </w:numPr>
              <w:spacing w:before="100" w:beforeAutospacing="1" w:afterLines="0" w:after="60"/>
              <w:rPr>
                <w:rFonts w:ascii="Calibri" w:hAnsi="Calibri" w:cs="Calibri"/>
                <w:sz w:val="20"/>
                <w:szCs w:val="22"/>
              </w:rPr>
            </w:pPr>
            <w:r w:rsidRPr="00BA0D2D">
              <w:rPr>
                <w:rFonts w:ascii="Arial" w:eastAsia="Calibri" w:hAnsi="Arial" w:cs="Arial"/>
                <w:kern w:val="0"/>
                <w:sz w:val="20"/>
                <w:szCs w:val="20"/>
                <w:lang w:eastAsia="en-GB"/>
              </w:rPr>
              <w:t xml:space="preserve">FFS when HARQ feedback is enabled </w:t>
            </w:r>
            <w:r w:rsidRPr="00BA0D2D">
              <w:rPr>
                <w:rFonts w:ascii="Arial" w:eastAsia="Calibri" w:hAnsi="Arial" w:cs="Arial" w:hint="eastAsia"/>
                <w:kern w:val="0"/>
                <w:sz w:val="20"/>
                <w:szCs w:val="20"/>
                <w:lang w:eastAsia="en-GB"/>
              </w:rPr>
              <w:t>and</w:t>
            </w:r>
            <w:r w:rsidRPr="00BA0D2D">
              <w:rPr>
                <w:rFonts w:ascii="Arial" w:eastAsia="Calibri" w:hAnsi="Arial" w:cs="Arial"/>
                <w:kern w:val="0"/>
                <w:sz w:val="20"/>
                <w:szCs w:val="20"/>
                <w:lang w:eastAsia="en-GB"/>
              </w:rPr>
              <w:t xml:space="preserve"> disabled.</w:t>
            </w:r>
          </w:p>
          <w:p w14:paraId="0EB80A3A" w14:textId="77777777" w:rsidR="00752699" w:rsidRPr="00BA0D2D" w:rsidRDefault="00752699" w:rsidP="00F804BB">
            <w:pPr>
              <w:pStyle w:val="LGTdoc"/>
              <w:spacing w:before="100" w:beforeAutospacing="1" w:afterLines="0" w:after="60"/>
              <w:ind w:left="1800"/>
              <w:rPr>
                <w:rFonts w:ascii="Calibri" w:hAnsi="Calibri" w:cs="Calibri"/>
                <w:sz w:val="20"/>
                <w:szCs w:val="22"/>
              </w:rPr>
            </w:pPr>
          </w:p>
        </w:tc>
      </w:tr>
    </w:tbl>
    <w:p w14:paraId="03281475" w14:textId="77777777" w:rsidR="00752699" w:rsidRPr="00BA0D2D" w:rsidRDefault="00752699" w:rsidP="00752699">
      <w:pPr>
        <w:spacing w:before="240"/>
        <w:jc w:val="both"/>
        <w:rPr>
          <w:rFonts w:ascii="Arial" w:hAnsi="Arial" w:cs="Arial"/>
        </w:rPr>
      </w:pPr>
      <w:r w:rsidRPr="00BA0D2D">
        <w:rPr>
          <w:rFonts w:ascii="Arial" w:hAnsi="Arial" w:cs="Arial"/>
        </w:rPr>
        <w:lastRenderedPageBreak/>
        <w:t>In RAN1#ah1901, the following agreements were made:</w:t>
      </w:r>
    </w:p>
    <w:tbl>
      <w:tblPr>
        <w:tblStyle w:val="TableGrid"/>
        <w:tblW w:w="0" w:type="auto"/>
        <w:tblLook w:val="04A0" w:firstRow="1" w:lastRow="0" w:firstColumn="1" w:lastColumn="0" w:noHBand="0" w:noVBand="1"/>
      </w:tblPr>
      <w:tblGrid>
        <w:gridCol w:w="9629"/>
      </w:tblGrid>
      <w:tr w:rsidR="00752699" w:rsidRPr="00BA0D2D" w14:paraId="649748E9" w14:textId="77777777" w:rsidTr="00F804BB">
        <w:tc>
          <w:tcPr>
            <w:tcW w:w="9629" w:type="dxa"/>
          </w:tcPr>
          <w:p w14:paraId="33A57DA8" w14:textId="77777777" w:rsidR="00752699" w:rsidRPr="00BA0D2D" w:rsidRDefault="00752699" w:rsidP="00F804BB">
            <w:pPr>
              <w:rPr>
                <w:rFonts w:ascii="Arial" w:hAnsi="Arial" w:cs="Arial"/>
                <w:sz w:val="20"/>
                <w:szCs w:val="20"/>
              </w:rPr>
            </w:pPr>
            <w:r w:rsidRPr="00072733">
              <w:rPr>
                <w:rFonts w:ascii="Arial" w:hAnsi="Arial" w:cs="Arial"/>
                <w:sz w:val="20"/>
                <w:szCs w:val="20"/>
                <w:highlight w:val="darkYellow"/>
              </w:rPr>
              <w:t>Working assumption:</w:t>
            </w:r>
          </w:p>
          <w:p w14:paraId="6ED275DD" w14:textId="77777777" w:rsidR="00752699" w:rsidRPr="00BA0D2D" w:rsidRDefault="00752699" w:rsidP="00752699">
            <w:pPr>
              <w:numPr>
                <w:ilvl w:val="0"/>
                <w:numId w:val="25"/>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When HARQ feedback is enabled for groupcast, support (options as identified in RAN1#95):</w:t>
            </w:r>
          </w:p>
          <w:p w14:paraId="1B009C58" w14:textId="77777777" w:rsidR="00752699" w:rsidRPr="00BA0D2D" w:rsidRDefault="00752699" w:rsidP="00752699">
            <w:pPr>
              <w:numPr>
                <w:ilvl w:val="1"/>
                <w:numId w:val="25"/>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Option 1: Receiver UE transmits only HARQ NACK</w:t>
            </w:r>
          </w:p>
          <w:p w14:paraId="017A9598" w14:textId="77777777" w:rsidR="00752699" w:rsidRPr="00BA0D2D" w:rsidRDefault="00752699" w:rsidP="00752699">
            <w:pPr>
              <w:numPr>
                <w:ilvl w:val="1"/>
                <w:numId w:val="25"/>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Option 2: Receiver UE transmits HARQ ACK/NACK</w:t>
            </w:r>
          </w:p>
          <w:p w14:paraId="56C98F7B" w14:textId="77777777" w:rsidR="00752699" w:rsidRPr="00BA0D2D" w:rsidRDefault="00752699" w:rsidP="00752699">
            <w:pPr>
              <w:numPr>
                <w:ilvl w:val="0"/>
                <w:numId w:val="25"/>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FFS applicability of option 1 and option 2 – this part is particulary relevant to confirm (or not) the working assumption</w:t>
            </w:r>
          </w:p>
          <w:p w14:paraId="0D92426C" w14:textId="77777777" w:rsidR="00752699" w:rsidRPr="00BA0D2D" w:rsidRDefault="00752699" w:rsidP="00F804BB">
            <w:pPr>
              <w:rPr>
                <w:rFonts w:ascii="Arial" w:hAnsi="Arial" w:cs="Arial"/>
                <w:sz w:val="20"/>
                <w:szCs w:val="20"/>
                <w:lang w:eastAsia="x-none"/>
              </w:rPr>
            </w:pPr>
            <w:r w:rsidRPr="00072733">
              <w:rPr>
                <w:rFonts w:ascii="Arial" w:hAnsi="Arial" w:cs="Arial"/>
                <w:sz w:val="20"/>
                <w:szCs w:val="20"/>
                <w:highlight w:val="green"/>
                <w:lang w:eastAsia="x-none"/>
              </w:rPr>
              <w:t>Agreements:</w:t>
            </w:r>
          </w:p>
          <w:p w14:paraId="3F0AD4EB" w14:textId="77777777" w:rsidR="00752699" w:rsidRPr="00BA0D2D" w:rsidRDefault="00752699" w:rsidP="00752699">
            <w:pPr>
              <w:pStyle w:val="LGTdoc"/>
              <w:numPr>
                <w:ilvl w:val="0"/>
                <w:numId w:val="27"/>
              </w:numPr>
              <w:autoSpaceDE w:val="0"/>
              <w:autoSpaceDN w:val="0"/>
              <w:adjustRightInd w:val="0"/>
              <w:spacing w:before="100" w:beforeAutospacing="1" w:afterLines="0" w:after="60"/>
              <w:rPr>
                <w:rFonts w:ascii="Arial" w:hAnsi="Arial" w:cs="Arial"/>
                <w:sz w:val="20"/>
                <w:szCs w:val="20"/>
              </w:rPr>
            </w:pPr>
            <w:r w:rsidRPr="00BA0D2D">
              <w:rPr>
                <w:rFonts w:ascii="Arial" w:hAnsi="Arial" w:cs="Arial"/>
                <w:sz w:val="20"/>
                <w:szCs w:val="20"/>
              </w:rPr>
              <w:t>(Pre-)configuration indicates whether SL HARQ feedback is enabled or disabled in unicast and/or groupcast.</w:t>
            </w:r>
          </w:p>
          <w:p w14:paraId="1D97113E" w14:textId="77777777" w:rsidR="00752699" w:rsidRPr="00BA0D2D" w:rsidRDefault="00752699" w:rsidP="00752699">
            <w:pPr>
              <w:pStyle w:val="LGTdoc"/>
              <w:numPr>
                <w:ilvl w:val="1"/>
                <w:numId w:val="27"/>
              </w:numPr>
              <w:autoSpaceDE w:val="0"/>
              <w:autoSpaceDN w:val="0"/>
              <w:adjustRightInd w:val="0"/>
              <w:spacing w:before="100" w:beforeAutospacing="1" w:afterLines="0" w:after="60"/>
              <w:rPr>
                <w:rFonts w:ascii="Calibri" w:hAnsi="Calibri" w:cs="Calibri"/>
                <w:sz w:val="26"/>
                <w:szCs w:val="26"/>
              </w:rPr>
            </w:pPr>
            <w:r w:rsidRPr="00BA0D2D">
              <w:rPr>
                <w:rFonts w:ascii="Arial" w:hAnsi="Arial" w:cs="Arial"/>
                <w:sz w:val="20"/>
                <w:szCs w:val="20"/>
              </w:rPr>
              <w:t xml:space="preserve">When (pre-)configuration enables SL HARQ feedback, FFS whether SL HARQ feedback is always used or there is additional condition of </w:t>
            </w:r>
            <w:proofErr w:type="gramStart"/>
            <w:r w:rsidRPr="00BA0D2D">
              <w:rPr>
                <w:rFonts w:ascii="Arial" w:hAnsi="Arial" w:cs="Arial"/>
                <w:sz w:val="20"/>
                <w:szCs w:val="20"/>
              </w:rPr>
              <w:t>actually using</w:t>
            </w:r>
            <w:proofErr w:type="gramEnd"/>
            <w:r w:rsidRPr="00BA0D2D">
              <w:rPr>
                <w:rFonts w:ascii="Arial" w:hAnsi="Arial" w:cs="Arial"/>
                <w:sz w:val="20"/>
                <w:szCs w:val="20"/>
              </w:rPr>
              <w:t xml:space="preserve"> SL HARQ feedback</w:t>
            </w:r>
          </w:p>
          <w:p w14:paraId="477D3125" w14:textId="77777777" w:rsidR="00752699" w:rsidRPr="00BA0D2D" w:rsidRDefault="00752699" w:rsidP="00F804BB">
            <w:pPr>
              <w:spacing w:after="120"/>
              <w:rPr>
                <w:rFonts w:ascii="Arial" w:hAnsi="Arial" w:cs="Arial"/>
                <w:sz w:val="20"/>
                <w:szCs w:val="20"/>
              </w:rPr>
            </w:pPr>
            <w:r w:rsidRPr="00072733">
              <w:rPr>
                <w:rFonts w:ascii="Arial" w:hAnsi="Arial" w:cs="Arial"/>
                <w:sz w:val="20"/>
                <w:szCs w:val="20"/>
                <w:highlight w:val="green"/>
              </w:rPr>
              <w:t>Agreements:</w:t>
            </w:r>
          </w:p>
          <w:p w14:paraId="28D32612" w14:textId="77777777" w:rsidR="00752699" w:rsidRPr="00BA0D2D" w:rsidRDefault="00752699" w:rsidP="00752699">
            <w:pPr>
              <w:pStyle w:val="LGTdoc"/>
              <w:numPr>
                <w:ilvl w:val="0"/>
                <w:numId w:val="25"/>
              </w:numPr>
              <w:autoSpaceDE w:val="0"/>
              <w:autoSpaceDN w:val="0"/>
              <w:adjustRightInd w:val="0"/>
              <w:spacing w:before="100" w:beforeAutospacing="1" w:afterLines="0" w:after="60"/>
              <w:rPr>
                <w:rFonts w:ascii="Arial" w:hAnsi="Arial" w:cs="Arial"/>
                <w:sz w:val="20"/>
                <w:szCs w:val="20"/>
              </w:rPr>
            </w:pPr>
            <w:r w:rsidRPr="00BA0D2D">
              <w:rPr>
                <w:rFonts w:ascii="Arial" w:hAnsi="Arial" w:cs="Arial"/>
                <w:sz w:val="20"/>
                <w:szCs w:val="20"/>
              </w:rPr>
              <w:t xml:space="preserve">For determining the resource of PSFCH containing HARQ feedback, support that the time gap between PSSCH and the associated PSFCH is not signaled via PSCCH at least for modes 2(a)(c)(d) (if respectively supported) </w:t>
            </w:r>
          </w:p>
          <w:p w14:paraId="47683AE8" w14:textId="77777777" w:rsidR="00752699" w:rsidRPr="00BA0D2D" w:rsidRDefault="00752699" w:rsidP="00752699">
            <w:pPr>
              <w:pStyle w:val="LGTdoc"/>
              <w:numPr>
                <w:ilvl w:val="1"/>
                <w:numId w:val="25"/>
              </w:numPr>
              <w:autoSpaceDE w:val="0"/>
              <w:autoSpaceDN w:val="0"/>
              <w:adjustRightInd w:val="0"/>
              <w:spacing w:before="100" w:beforeAutospacing="1" w:afterLines="0" w:after="60"/>
              <w:rPr>
                <w:rFonts w:ascii="Arial" w:hAnsi="Arial" w:cs="Arial"/>
                <w:sz w:val="20"/>
                <w:szCs w:val="20"/>
              </w:rPr>
            </w:pPr>
            <w:r w:rsidRPr="00BA0D2D">
              <w:rPr>
                <w:rFonts w:ascii="Arial" w:hAnsi="Arial" w:cs="Arial"/>
                <w:sz w:val="20"/>
                <w:szCs w:val="20"/>
              </w:rPr>
              <w:t xml:space="preserve">FFS </w:t>
            </w:r>
            <w:proofErr w:type="gramStart"/>
            <w:r w:rsidRPr="00BA0D2D">
              <w:rPr>
                <w:rFonts w:ascii="Arial" w:hAnsi="Arial" w:cs="Arial"/>
                <w:sz w:val="20"/>
                <w:szCs w:val="20"/>
              </w:rPr>
              <w:t>whether or not</w:t>
            </w:r>
            <w:proofErr w:type="gramEnd"/>
            <w:r w:rsidRPr="00BA0D2D">
              <w:rPr>
                <w:rFonts w:ascii="Arial" w:hAnsi="Arial" w:cs="Arial"/>
                <w:sz w:val="20"/>
                <w:szCs w:val="20"/>
              </w:rPr>
              <w:t xml:space="preserve"> to additionally support other mechanism(s) for modes 2(a)(c)(d)</w:t>
            </w:r>
          </w:p>
          <w:p w14:paraId="04A8C33B" w14:textId="77777777" w:rsidR="00752699" w:rsidRPr="00BA0D2D" w:rsidRDefault="00752699" w:rsidP="00752699">
            <w:pPr>
              <w:pStyle w:val="LGTdoc"/>
              <w:numPr>
                <w:ilvl w:val="1"/>
                <w:numId w:val="25"/>
              </w:numPr>
              <w:autoSpaceDE w:val="0"/>
              <w:autoSpaceDN w:val="0"/>
              <w:adjustRightInd w:val="0"/>
              <w:spacing w:before="100" w:beforeAutospacing="1" w:afterLines="0" w:after="60"/>
              <w:rPr>
                <w:rFonts w:ascii="Arial" w:hAnsi="Arial" w:cs="Arial"/>
                <w:sz w:val="20"/>
                <w:szCs w:val="20"/>
              </w:rPr>
            </w:pPr>
            <w:r w:rsidRPr="00BA0D2D">
              <w:rPr>
                <w:rFonts w:ascii="Arial" w:hAnsi="Arial" w:cs="Arial"/>
                <w:sz w:val="20"/>
                <w:szCs w:val="20"/>
              </w:rPr>
              <w:t>FFS for mode 1</w:t>
            </w:r>
          </w:p>
          <w:p w14:paraId="595665F4" w14:textId="77777777" w:rsidR="00752699" w:rsidRPr="00BA0D2D" w:rsidRDefault="00752699" w:rsidP="00F804BB">
            <w:pPr>
              <w:rPr>
                <w:rFonts w:ascii="Arial" w:hAnsi="Arial" w:cs="Arial"/>
                <w:sz w:val="20"/>
                <w:szCs w:val="20"/>
                <w:lang w:eastAsia="x-none"/>
              </w:rPr>
            </w:pPr>
            <w:r w:rsidRPr="00072733">
              <w:rPr>
                <w:rFonts w:ascii="Arial" w:hAnsi="Arial" w:cs="Arial"/>
                <w:sz w:val="20"/>
                <w:szCs w:val="20"/>
                <w:highlight w:val="green"/>
                <w:lang w:eastAsia="x-none"/>
              </w:rPr>
              <w:t>Agreements:</w:t>
            </w:r>
          </w:p>
          <w:p w14:paraId="62923255" w14:textId="77777777" w:rsidR="00752699" w:rsidRPr="00BA0D2D" w:rsidRDefault="00752699" w:rsidP="00752699">
            <w:pPr>
              <w:numPr>
                <w:ilvl w:val="0"/>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 xml:space="preserve">It is supported that in mode 1 for unicast, the in-coverage UE sends an indication to gNB to indicate the need for retransmission </w:t>
            </w:r>
          </w:p>
          <w:p w14:paraId="1DA1C7EA" w14:textId="77777777" w:rsidR="00752699" w:rsidRPr="00BA0D2D" w:rsidRDefault="00752699" w:rsidP="00752699">
            <w:pPr>
              <w:numPr>
                <w:ilvl w:val="1"/>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At least PUCCH is used to report the information</w:t>
            </w:r>
          </w:p>
          <w:p w14:paraId="627F1819" w14:textId="77777777" w:rsidR="00752699" w:rsidRPr="00BA0D2D" w:rsidRDefault="00752699" w:rsidP="00752699">
            <w:pPr>
              <w:numPr>
                <w:ilvl w:val="2"/>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If feasible, RAN1 reuses PUCCH defined in Rel-15</w:t>
            </w:r>
          </w:p>
          <w:p w14:paraId="40CC6AD9" w14:textId="77777777" w:rsidR="00752699" w:rsidRPr="00BA0D2D" w:rsidRDefault="00752699" w:rsidP="00752699">
            <w:pPr>
              <w:numPr>
                <w:ilvl w:val="1"/>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The gNB can also schedule re-transmission resource</w:t>
            </w:r>
          </w:p>
          <w:p w14:paraId="7D2BD2A8" w14:textId="77777777" w:rsidR="00752699" w:rsidRPr="00BA0D2D" w:rsidRDefault="00752699" w:rsidP="00752699">
            <w:pPr>
              <w:numPr>
                <w:ilvl w:val="1"/>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FFS transmitter UE and/or receiver UE</w:t>
            </w:r>
          </w:p>
          <w:p w14:paraId="153D7058" w14:textId="77777777" w:rsidR="00752699" w:rsidRPr="00BA0D2D" w:rsidRDefault="00752699" w:rsidP="00752699">
            <w:pPr>
              <w:numPr>
                <w:ilvl w:val="2"/>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If receiver UE, the indication is in the form of HARQ ACK/NAK</w:t>
            </w:r>
          </w:p>
          <w:p w14:paraId="710B9670" w14:textId="77777777" w:rsidR="00752699" w:rsidRPr="00BA0D2D" w:rsidRDefault="00752699" w:rsidP="00752699">
            <w:pPr>
              <w:numPr>
                <w:ilvl w:val="2"/>
                <w:numId w:val="26"/>
              </w:numPr>
              <w:overflowPunct/>
              <w:autoSpaceDE/>
              <w:autoSpaceDN/>
              <w:adjustRightInd/>
              <w:spacing w:after="160" w:line="259" w:lineRule="auto"/>
              <w:textAlignment w:val="auto"/>
              <w:rPr>
                <w:rFonts w:ascii="Arial" w:hAnsi="Arial" w:cs="Arial"/>
                <w:sz w:val="20"/>
                <w:szCs w:val="20"/>
              </w:rPr>
            </w:pPr>
            <w:r w:rsidRPr="00BA0D2D">
              <w:rPr>
                <w:rFonts w:ascii="Arial" w:hAnsi="Arial" w:cs="Arial"/>
                <w:sz w:val="20"/>
                <w:szCs w:val="20"/>
              </w:rPr>
              <w:t>If transmitter UE, FFS</w:t>
            </w:r>
          </w:p>
        </w:tc>
      </w:tr>
    </w:tbl>
    <w:p w14:paraId="1AD50729" w14:textId="77777777" w:rsidR="00752699" w:rsidRPr="00BA0D2D" w:rsidRDefault="00752699" w:rsidP="00752699">
      <w:pPr>
        <w:spacing w:before="240"/>
        <w:jc w:val="both"/>
        <w:rPr>
          <w:rFonts w:ascii="Arial" w:hAnsi="Arial" w:cs="Arial"/>
        </w:rPr>
      </w:pPr>
      <w:r w:rsidRPr="00BA0D2D">
        <w:rPr>
          <w:rFonts w:ascii="Arial" w:hAnsi="Arial" w:cs="Arial"/>
        </w:rPr>
        <w:t xml:space="preserve">NR SL targets uses cases with packet sizes ranging from a few tens of bits to several thousands of bits. For the higher end, code block segmentation is necessarily applied. At the same time, the NR PHY uses a frequency-first mapping of coded bits to resource elements. Given the high time selectivity that characterizes V2X channels, different CBs will experience different channel conditions, better for some worse for others. That is, if different CBs are transmitted over difference coherence intervals, the probability of decoding them correctly will be independent. Such scenario calls for acknowledgment of CBs in groups (i.e., CBGs), avoiding </w:t>
      </w:r>
      <w:r w:rsidRPr="00BA0D2D">
        <w:rPr>
          <w:rFonts w:ascii="Arial" w:hAnsi="Arial" w:cs="Arial"/>
        </w:rPr>
        <w:lastRenderedPageBreak/>
        <w:t>transmission of large numbers of bits if not necessary. At the same time, it seems reasonable to limit the utilization of CBG-based feedback to those situations in which it is indeed useful (e.g., for big packet sizes, etc.). Therefore, the network may configure UEs operating in-coverage. For out-of-coverage UEs, necessary configuration mechanism must be studied.</w:t>
      </w:r>
    </w:p>
    <w:p w14:paraId="798074AD"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16" w:name="_Toc534809998"/>
      <w:bookmarkStart w:id="17" w:name="_Toc534810023"/>
      <w:bookmarkStart w:id="18" w:name="_Toc534992865"/>
      <w:bookmarkStart w:id="19" w:name="_Toc1039765"/>
      <w:bookmarkStart w:id="20" w:name="_Toc1120551"/>
      <w:r w:rsidRPr="00BA0D2D">
        <w:t>For SL HARQ, CBG-based HARQ feedback is supported.</w:t>
      </w:r>
      <w:bookmarkEnd w:id="16"/>
      <w:bookmarkEnd w:id="17"/>
      <w:bookmarkEnd w:id="18"/>
      <w:bookmarkEnd w:id="19"/>
      <w:bookmarkEnd w:id="20"/>
    </w:p>
    <w:p w14:paraId="5009074F" w14:textId="77777777" w:rsidR="00752699" w:rsidRPr="00BA0D2D" w:rsidRDefault="00752699" w:rsidP="00752699">
      <w:pPr>
        <w:pStyle w:val="Proposal"/>
        <w:numPr>
          <w:ilvl w:val="0"/>
          <w:numId w:val="29"/>
        </w:numPr>
        <w:tabs>
          <w:tab w:val="clear" w:pos="1701"/>
        </w:tabs>
        <w:overflowPunct/>
        <w:autoSpaceDE/>
        <w:autoSpaceDN/>
        <w:adjustRightInd/>
        <w:spacing w:line="259" w:lineRule="auto"/>
        <w:jc w:val="left"/>
        <w:textAlignment w:val="auto"/>
        <w:rPr>
          <w:rFonts w:eastAsia="Calibri" w:cs="Arial"/>
          <w:lang w:eastAsia="en-GB"/>
        </w:rPr>
      </w:pPr>
      <w:bookmarkStart w:id="21" w:name="_Toc534809999"/>
      <w:bookmarkStart w:id="22" w:name="_Toc534810024"/>
      <w:bookmarkStart w:id="23" w:name="_Toc534992866"/>
      <w:bookmarkStart w:id="24" w:name="_Toc1039766"/>
      <w:bookmarkStart w:id="25" w:name="_Toc1120552"/>
      <w:r w:rsidRPr="00BA0D2D">
        <w:rPr>
          <w:rFonts w:cs="Arial"/>
        </w:rPr>
        <w:t>FFS how to configure the use of TB-based and CBG-based HARQ feedback</w:t>
      </w:r>
      <w:r w:rsidRPr="00BA0D2D">
        <w:t>.</w:t>
      </w:r>
      <w:bookmarkEnd w:id="21"/>
      <w:bookmarkEnd w:id="22"/>
      <w:bookmarkEnd w:id="23"/>
      <w:bookmarkEnd w:id="24"/>
      <w:bookmarkEnd w:id="25"/>
    </w:p>
    <w:p w14:paraId="056A4249" w14:textId="353C0C5D" w:rsidR="00752699" w:rsidRPr="00BA0D2D" w:rsidRDefault="00752699" w:rsidP="00752699">
      <w:pPr>
        <w:jc w:val="both"/>
        <w:rPr>
          <w:rFonts w:ascii="Arial" w:hAnsi="Arial" w:cs="Arial"/>
        </w:rPr>
      </w:pPr>
      <w:r w:rsidRPr="00BA0D2D">
        <w:rPr>
          <w:rFonts w:ascii="Arial" w:hAnsi="Arial" w:cs="Arial"/>
        </w:rPr>
        <w:t xml:space="preserve">When it comes to enabling/disabling HARQ feedback, it was agreed to enable or disable HARQ feedback based on (pre-)configuration. Furthermore, we believe that the HARQ enabling/disabling should also take congestion control and QoS or V2X service requirements in account based on the pre-defined rules. From </w:t>
      </w:r>
      <w:proofErr w:type="spellStart"/>
      <w:r w:rsidRPr="00BA0D2D">
        <w:rPr>
          <w:rFonts w:ascii="Arial" w:hAnsi="Arial" w:cs="Arial"/>
        </w:rPr>
        <w:t>signaling</w:t>
      </w:r>
      <w:proofErr w:type="spellEnd"/>
      <w:r w:rsidRPr="00BA0D2D">
        <w:rPr>
          <w:rFonts w:ascii="Arial" w:hAnsi="Arial" w:cs="Arial"/>
        </w:rPr>
        <w:t xml:space="preserve"> perspective, the following two mechanisms are </w:t>
      </w:r>
      <w:proofErr w:type="gramStart"/>
      <w:r w:rsidRPr="00BA0D2D">
        <w:rPr>
          <w:rFonts w:ascii="Arial" w:hAnsi="Arial" w:cs="Arial"/>
        </w:rPr>
        <w:t>sufficient</w:t>
      </w:r>
      <w:proofErr w:type="gramEnd"/>
      <w:r w:rsidRPr="00BA0D2D">
        <w:rPr>
          <w:rFonts w:ascii="Arial" w:hAnsi="Arial" w:cs="Arial"/>
        </w:rPr>
        <w:t>:</w:t>
      </w:r>
    </w:p>
    <w:p w14:paraId="587DA32A" w14:textId="7EFCE7BB" w:rsidR="00752699" w:rsidRPr="00BA0D2D" w:rsidRDefault="00752699" w:rsidP="00752699">
      <w:pPr>
        <w:pStyle w:val="ListParagraph"/>
        <w:numPr>
          <w:ilvl w:val="0"/>
          <w:numId w:val="32"/>
        </w:numPr>
        <w:overflowPunct/>
        <w:autoSpaceDE/>
        <w:autoSpaceDN/>
        <w:adjustRightInd/>
        <w:spacing w:after="160" w:line="259" w:lineRule="auto"/>
        <w:contextualSpacing/>
        <w:jc w:val="both"/>
        <w:textAlignment w:val="auto"/>
        <w:rPr>
          <w:rFonts w:ascii="Arial" w:hAnsi="Arial" w:cs="Arial"/>
          <w:sz w:val="20"/>
          <w:lang w:val="en-GB" w:eastAsia="ja-JP"/>
        </w:rPr>
      </w:pPr>
      <w:r w:rsidRPr="00BA0D2D">
        <w:rPr>
          <w:rFonts w:ascii="Arial" w:hAnsi="Arial" w:cs="Arial"/>
          <w:sz w:val="20"/>
          <w:lang w:val="en-GB" w:eastAsia="ja-JP"/>
        </w:rPr>
        <w:t xml:space="preserve">For Mode 1 UEs, the use of HARQ feedback is </w:t>
      </w:r>
      <w:r w:rsidRPr="00BA0D2D">
        <w:rPr>
          <w:rFonts w:ascii="Arial" w:hAnsi="Arial" w:cs="Arial"/>
          <w:sz w:val="20"/>
          <w:lang w:eastAsia="ja-JP"/>
        </w:rPr>
        <w:t>decided</w:t>
      </w:r>
      <w:r w:rsidRPr="00BA0D2D">
        <w:rPr>
          <w:rFonts w:ascii="Arial" w:hAnsi="Arial" w:cs="Arial"/>
          <w:sz w:val="20"/>
          <w:lang w:val="en-GB" w:eastAsia="ja-JP"/>
        </w:rPr>
        <w:t xml:space="preserve"> by the </w:t>
      </w:r>
      <w:r w:rsidRPr="00BA0D2D">
        <w:rPr>
          <w:rFonts w:ascii="Arial" w:hAnsi="Arial" w:cs="Arial"/>
          <w:sz w:val="20"/>
          <w:lang w:eastAsia="ja-JP"/>
        </w:rPr>
        <w:t>gNB</w:t>
      </w:r>
      <w:r w:rsidR="00933390" w:rsidRPr="00BA0D2D">
        <w:rPr>
          <w:rFonts w:ascii="Arial" w:hAnsi="Arial" w:cs="Arial"/>
          <w:sz w:val="20"/>
          <w:lang w:val="en-US" w:eastAsia="ja-JP"/>
        </w:rPr>
        <w:t xml:space="preserve"> (e.g.,</w:t>
      </w:r>
      <w:r w:rsidRPr="00BA0D2D">
        <w:rPr>
          <w:rFonts w:ascii="Arial" w:hAnsi="Arial" w:cs="Arial"/>
          <w:sz w:val="20"/>
          <w:lang w:eastAsia="ja-JP"/>
        </w:rPr>
        <w:t xml:space="preserve"> considering QoS</w:t>
      </w:r>
      <w:r w:rsidR="00CA6CE8" w:rsidRPr="00BA0D2D">
        <w:rPr>
          <w:rFonts w:ascii="Arial" w:hAnsi="Arial" w:cs="Arial"/>
          <w:sz w:val="20"/>
          <w:lang w:val="en-US" w:eastAsia="ja-JP"/>
        </w:rPr>
        <w:t xml:space="preserve">, </w:t>
      </w:r>
      <w:r w:rsidRPr="00BA0D2D">
        <w:rPr>
          <w:rFonts w:ascii="Arial" w:hAnsi="Arial" w:cs="Arial"/>
          <w:sz w:val="20"/>
          <w:lang w:eastAsia="ja-JP"/>
        </w:rPr>
        <w:t xml:space="preserve">congestion </w:t>
      </w:r>
      <w:r w:rsidR="00CA6CE8" w:rsidRPr="00BA0D2D">
        <w:rPr>
          <w:rFonts w:ascii="Arial" w:hAnsi="Arial" w:cs="Arial"/>
          <w:sz w:val="20"/>
          <w:lang w:val="en-US" w:eastAsia="ja-JP"/>
        </w:rPr>
        <w:t>reports, etc.)</w:t>
      </w:r>
      <w:r w:rsidRPr="00BA0D2D">
        <w:rPr>
          <w:rFonts w:ascii="Arial" w:hAnsi="Arial" w:cs="Arial"/>
          <w:sz w:val="20"/>
          <w:lang w:val="en-GB" w:eastAsia="ja-JP"/>
        </w:rPr>
        <w:t>.</w:t>
      </w:r>
    </w:p>
    <w:p w14:paraId="1411D46E" w14:textId="58E67372" w:rsidR="00BF2DCC" w:rsidRPr="00BA0D2D" w:rsidRDefault="00752699" w:rsidP="00BF2DCC">
      <w:pPr>
        <w:pStyle w:val="ListParagraph"/>
        <w:numPr>
          <w:ilvl w:val="0"/>
          <w:numId w:val="32"/>
        </w:numPr>
        <w:overflowPunct/>
        <w:autoSpaceDE/>
        <w:autoSpaceDN/>
        <w:adjustRightInd/>
        <w:spacing w:after="160" w:line="259" w:lineRule="auto"/>
        <w:contextualSpacing/>
        <w:jc w:val="both"/>
        <w:textAlignment w:val="auto"/>
        <w:rPr>
          <w:rFonts w:ascii="Arial" w:hAnsi="Arial" w:cs="Arial"/>
          <w:sz w:val="20"/>
          <w:lang w:val="en-GB" w:eastAsia="ja-JP"/>
        </w:rPr>
      </w:pPr>
      <w:r w:rsidRPr="00BA0D2D">
        <w:rPr>
          <w:rFonts w:ascii="Arial" w:hAnsi="Arial" w:cs="Arial"/>
          <w:sz w:val="20"/>
          <w:lang w:val="en-GB" w:eastAsia="ja-JP"/>
        </w:rPr>
        <w:t>For Mode 2 UEs, the UE transmitting the TB/CBG decides whether to request feedback or not</w:t>
      </w:r>
      <w:r w:rsidRPr="00BA0D2D">
        <w:rPr>
          <w:rFonts w:ascii="Arial" w:hAnsi="Arial" w:cs="Arial"/>
          <w:sz w:val="20"/>
          <w:lang w:eastAsia="ja-JP"/>
        </w:rPr>
        <w:t xml:space="preserve"> based on congestion control and QoS.</w:t>
      </w:r>
    </w:p>
    <w:p w14:paraId="2356678C" w14:textId="62955649" w:rsidR="00752699" w:rsidRPr="00BA0D2D" w:rsidRDefault="002D33C3" w:rsidP="002D33C3">
      <w:pPr>
        <w:rPr>
          <w:rFonts w:ascii="Arial" w:hAnsi="Arial" w:cs="Arial"/>
        </w:rPr>
      </w:pPr>
      <w:r w:rsidRPr="00BA0D2D">
        <w:rPr>
          <w:rFonts w:ascii="Arial" w:hAnsi="Arial" w:cs="Arial"/>
        </w:rPr>
        <w:t xml:space="preserve">It is to be noted that </w:t>
      </w:r>
      <w:r w:rsidR="00F12699" w:rsidRPr="00BA0D2D">
        <w:rPr>
          <w:rFonts w:ascii="Arial" w:hAnsi="Arial" w:cs="Arial"/>
        </w:rPr>
        <w:t xml:space="preserve">in case of groupcast </w:t>
      </w:r>
      <w:r w:rsidRPr="00BA0D2D">
        <w:rPr>
          <w:rFonts w:ascii="Arial" w:hAnsi="Arial" w:cs="Arial"/>
        </w:rPr>
        <w:t xml:space="preserve">it may also be possible that the receiver of the TB/CBG decide not to send the HARQ feedback </w:t>
      </w:r>
      <w:r w:rsidR="00F12699" w:rsidRPr="00BA0D2D">
        <w:rPr>
          <w:rFonts w:ascii="Arial" w:hAnsi="Arial" w:cs="Arial"/>
        </w:rPr>
        <w:t xml:space="preserve">although it is requested by the </w:t>
      </w:r>
      <w:r w:rsidR="008E39E2" w:rsidRPr="00BA0D2D">
        <w:rPr>
          <w:rFonts w:ascii="Arial" w:hAnsi="Arial" w:cs="Arial"/>
        </w:rPr>
        <w:t xml:space="preserve">transmitter UE. The criteria by which RX UE can decide about the transmission of HARQ feedback </w:t>
      </w:r>
      <w:r w:rsidR="00950ED4" w:rsidRPr="00BA0D2D">
        <w:rPr>
          <w:rFonts w:ascii="Arial" w:hAnsi="Arial" w:cs="Arial"/>
        </w:rPr>
        <w:t xml:space="preserve">is either RSRP based or distance based. </w:t>
      </w:r>
    </w:p>
    <w:p w14:paraId="44CF2792"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26" w:name="_Toc534810000"/>
      <w:bookmarkStart w:id="27" w:name="_Toc534810025"/>
      <w:bookmarkStart w:id="28" w:name="_Toc534992867"/>
      <w:bookmarkStart w:id="29" w:name="_Toc1039767"/>
      <w:bookmarkStart w:id="30" w:name="_Toc1120553"/>
      <w:r w:rsidRPr="00BA0D2D">
        <w:t>For Mode 1 UEs the use of HARQ feedback is configured by the network. For Mode 2 UEs, the transmitter of a TB/CBG decides whether to request feedback.</w:t>
      </w:r>
      <w:bookmarkEnd w:id="26"/>
      <w:bookmarkEnd w:id="27"/>
      <w:bookmarkEnd w:id="28"/>
      <w:bookmarkEnd w:id="29"/>
      <w:bookmarkEnd w:id="30"/>
    </w:p>
    <w:p w14:paraId="5DFC4717" w14:textId="51F9F47B" w:rsidR="00F6715A" w:rsidRPr="00BA0D2D" w:rsidRDefault="00752699" w:rsidP="00752699">
      <w:pPr>
        <w:jc w:val="both"/>
        <w:rPr>
          <w:rFonts w:ascii="Arial" w:hAnsi="Arial" w:cs="Arial"/>
        </w:rPr>
      </w:pPr>
      <w:r w:rsidRPr="00BA0D2D">
        <w:rPr>
          <w:rFonts w:ascii="Arial" w:hAnsi="Arial" w:cs="Arial"/>
        </w:rPr>
        <w:t xml:space="preserve">Furthermore, in the previous RAN1 meeting, a working assumption was made to support both </w:t>
      </w:r>
      <w:r w:rsidR="009753B4" w:rsidRPr="00BA0D2D">
        <w:rPr>
          <w:rFonts w:ascii="Arial" w:hAnsi="Arial" w:cs="Arial"/>
        </w:rPr>
        <w:t>HARQ O</w:t>
      </w:r>
      <w:r w:rsidRPr="00BA0D2D">
        <w:rPr>
          <w:rFonts w:ascii="Arial" w:hAnsi="Arial" w:cs="Arial"/>
        </w:rPr>
        <w:t xml:space="preserve">ption 1 (i.e. only NACK is transmitted) and </w:t>
      </w:r>
      <w:r w:rsidR="009753B4" w:rsidRPr="00BA0D2D">
        <w:rPr>
          <w:rFonts w:ascii="Arial" w:hAnsi="Arial" w:cs="Arial"/>
        </w:rPr>
        <w:t xml:space="preserve">HARQ Option </w:t>
      </w:r>
      <w:r w:rsidRPr="00BA0D2D">
        <w:rPr>
          <w:rFonts w:ascii="Arial" w:hAnsi="Arial" w:cs="Arial"/>
        </w:rPr>
        <w:t>2 (i.e. both ACK/NACK is transmitted)</w:t>
      </w:r>
      <w:r w:rsidR="00CB4772" w:rsidRPr="00BA0D2D">
        <w:rPr>
          <w:rFonts w:ascii="Arial" w:hAnsi="Arial" w:cs="Arial"/>
        </w:rPr>
        <w:t xml:space="preserve"> for groupcast</w:t>
      </w:r>
      <w:r w:rsidRPr="00BA0D2D">
        <w:rPr>
          <w:rFonts w:ascii="Arial" w:hAnsi="Arial" w:cs="Arial"/>
        </w:rPr>
        <w:t xml:space="preserve">. The reason to support both the options is their applicability in different scenarios. For instance, there could be two types of groupcast communications: (1) Groupcast with connection establishment, and (2) Groupcast without connection establishment. </w:t>
      </w:r>
    </w:p>
    <w:p w14:paraId="5A2DF157" w14:textId="544715F7" w:rsidR="00752699" w:rsidRPr="00BA0D2D" w:rsidRDefault="00752699" w:rsidP="00752699">
      <w:pPr>
        <w:jc w:val="both"/>
        <w:rPr>
          <w:rFonts w:ascii="Arial" w:hAnsi="Arial" w:cs="Arial"/>
        </w:rPr>
      </w:pPr>
      <w:r w:rsidRPr="00BA0D2D">
        <w:rPr>
          <w:rFonts w:ascii="Arial" w:hAnsi="Arial" w:cs="Arial"/>
        </w:rPr>
        <w:t xml:space="preserve">For case </w:t>
      </w:r>
      <w:r w:rsidR="00F6715A" w:rsidRPr="00BA0D2D">
        <w:rPr>
          <w:rFonts w:ascii="Arial" w:hAnsi="Arial" w:cs="Arial"/>
        </w:rPr>
        <w:t>groupcast with connection establishment</w:t>
      </w:r>
      <w:r w:rsidRPr="00BA0D2D">
        <w:rPr>
          <w:rFonts w:ascii="Arial" w:hAnsi="Arial" w:cs="Arial"/>
        </w:rPr>
        <w:t xml:space="preserve">, where transmitter and receivers are aware of each other’s presence, our view is that </w:t>
      </w:r>
      <w:r w:rsidR="009753B4" w:rsidRPr="00BA0D2D">
        <w:rPr>
          <w:rFonts w:ascii="Arial" w:hAnsi="Arial" w:cs="Arial"/>
        </w:rPr>
        <w:t xml:space="preserve">HARQ </w:t>
      </w:r>
      <w:r w:rsidRPr="00BA0D2D">
        <w:rPr>
          <w:rFonts w:ascii="Arial" w:hAnsi="Arial" w:cs="Arial"/>
        </w:rPr>
        <w:t>Option 2 is the proper framework for transmission of feedback with the following considerations:</w:t>
      </w:r>
    </w:p>
    <w:p w14:paraId="2F9086A0" w14:textId="77777777" w:rsidR="00752699" w:rsidRPr="00BA0D2D" w:rsidRDefault="00752699" w:rsidP="00752699">
      <w:pPr>
        <w:pStyle w:val="ListParagraph"/>
        <w:numPr>
          <w:ilvl w:val="0"/>
          <w:numId w:val="33"/>
        </w:numPr>
        <w:overflowPunct/>
        <w:autoSpaceDE/>
        <w:autoSpaceDN/>
        <w:adjustRightInd/>
        <w:spacing w:after="160" w:line="259" w:lineRule="auto"/>
        <w:contextualSpacing/>
        <w:jc w:val="both"/>
        <w:textAlignment w:val="auto"/>
        <w:rPr>
          <w:rFonts w:ascii="Arial" w:hAnsi="Arial" w:cs="Arial"/>
          <w:sz w:val="20"/>
          <w:lang w:val="en-GB" w:eastAsia="ja-JP"/>
        </w:rPr>
      </w:pPr>
      <w:r w:rsidRPr="00BA0D2D">
        <w:rPr>
          <w:rFonts w:ascii="Arial" w:hAnsi="Arial" w:cs="Arial"/>
          <w:sz w:val="20"/>
          <w:lang w:val="en-GB" w:eastAsia="ja-JP"/>
        </w:rPr>
        <w:t>There is no additional criterion in deciding transmission of HARQ ACK/NACK. That is, all receivers transmit ACK (or NACK) if they are able (or not) to decode the TB/CBG. Should any further restriction be desirable, then it should be part of the group definition. In other words, if certain UEs are not expected to transmit ACK/NACK, then they should not be part of the group.</w:t>
      </w:r>
    </w:p>
    <w:p w14:paraId="568970CE" w14:textId="77777777" w:rsidR="00752699" w:rsidRPr="00BA0D2D" w:rsidRDefault="00752699" w:rsidP="00752699">
      <w:pPr>
        <w:pStyle w:val="ListParagraph"/>
        <w:numPr>
          <w:ilvl w:val="0"/>
          <w:numId w:val="33"/>
        </w:numPr>
        <w:overflowPunct/>
        <w:autoSpaceDE/>
        <w:autoSpaceDN/>
        <w:adjustRightInd/>
        <w:spacing w:after="160" w:line="259" w:lineRule="auto"/>
        <w:contextualSpacing/>
        <w:jc w:val="both"/>
        <w:textAlignment w:val="auto"/>
        <w:rPr>
          <w:rFonts w:ascii="Arial" w:hAnsi="Arial" w:cs="Arial"/>
          <w:sz w:val="20"/>
          <w:lang w:val="en-GB" w:eastAsia="ja-JP"/>
        </w:rPr>
      </w:pPr>
      <w:r w:rsidRPr="00BA0D2D">
        <w:rPr>
          <w:rFonts w:ascii="Arial" w:hAnsi="Arial" w:cs="Arial"/>
          <w:sz w:val="20"/>
          <w:lang w:val="en-GB" w:eastAsia="ja-JP"/>
        </w:rPr>
        <w:t>Resources used for transmission of ACK should be UE-specific. Resources used for transmission of NACK may be UE-specific or group-specific. This allows the receiver of the feedback transmissions to know which UEs correctly received the transmission and/or whether some UE received PSCCH but failed to decode the corresponding TB/CBG.</w:t>
      </w:r>
    </w:p>
    <w:p w14:paraId="71B97004" w14:textId="767D4207" w:rsidR="00752699" w:rsidRPr="00BA0D2D" w:rsidRDefault="00752699" w:rsidP="00752699">
      <w:pPr>
        <w:spacing w:before="120"/>
        <w:jc w:val="both"/>
        <w:rPr>
          <w:rFonts w:ascii="Arial" w:hAnsi="Arial" w:cs="Arial"/>
        </w:rPr>
      </w:pPr>
      <w:r w:rsidRPr="00BA0D2D">
        <w:rPr>
          <w:rFonts w:ascii="Arial" w:hAnsi="Arial" w:cs="Arial"/>
        </w:rPr>
        <w:t xml:space="preserve">For groupcast communication without connection establishment i.e. case (2), our view is that </w:t>
      </w:r>
      <w:r w:rsidR="009753B4" w:rsidRPr="00BA0D2D">
        <w:rPr>
          <w:rFonts w:ascii="Arial" w:hAnsi="Arial" w:cs="Arial"/>
        </w:rPr>
        <w:t xml:space="preserve">HARQ </w:t>
      </w:r>
      <w:r w:rsidRPr="00BA0D2D">
        <w:rPr>
          <w:rFonts w:ascii="Arial" w:hAnsi="Arial" w:cs="Arial"/>
        </w:rPr>
        <w:t>Option 1 is the appropriate framework for HARQ feedback. In this case, we observe the following:</w:t>
      </w:r>
    </w:p>
    <w:p w14:paraId="720B39D8" w14:textId="77777777" w:rsidR="00752699" w:rsidRPr="00BA0D2D" w:rsidRDefault="00752699" w:rsidP="00752699">
      <w:pPr>
        <w:pStyle w:val="ListParagraph"/>
        <w:numPr>
          <w:ilvl w:val="0"/>
          <w:numId w:val="34"/>
        </w:numPr>
        <w:overflowPunct/>
        <w:autoSpaceDE/>
        <w:autoSpaceDN/>
        <w:adjustRightInd/>
        <w:spacing w:after="160" w:line="259" w:lineRule="auto"/>
        <w:contextualSpacing/>
        <w:jc w:val="both"/>
        <w:textAlignment w:val="auto"/>
        <w:rPr>
          <w:rFonts w:ascii="Arial" w:hAnsi="Arial" w:cs="Arial"/>
          <w:sz w:val="20"/>
          <w:lang w:val="en-GB" w:eastAsia="ja-JP"/>
        </w:rPr>
      </w:pPr>
      <w:r w:rsidRPr="00BA0D2D">
        <w:rPr>
          <w:rFonts w:ascii="Arial" w:hAnsi="Arial" w:cs="Arial"/>
          <w:sz w:val="20"/>
          <w:lang w:val="en-GB" w:eastAsia="ja-JP"/>
        </w:rPr>
        <w:t xml:space="preserve">Since there is no connection establishment phase and groups are formed on a transmission-by-transmission basis, it is necessary to restrict the transmission </w:t>
      </w:r>
      <w:r w:rsidRPr="00BA0D2D">
        <w:rPr>
          <w:rFonts w:ascii="Arial" w:hAnsi="Arial" w:cs="Arial"/>
          <w:sz w:val="20"/>
          <w:lang w:eastAsia="ja-JP"/>
        </w:rPr>
        <w:t>to only NACK messages.</w:t>
      </w:r>
    </w:p>
    <w:p w14:paraId="33B6FEFE" w14:textId="77777777" w:rsidR="00752699" w:rsidRPr="00BA0D2D" w:rsidRDefault="00752699" w:rsidP="00752699">
      <w:pPr>
        <w:pStyle w:val="ListParagraph"/>
        <w:numPr>
          <w:ilvl w:val="0"/>
          <w:numId w:val="34"/>
        </w:numPr>
        <w:overflowPunct/>
        <w:autoSpaceDE/>
        <w:autoSpaceDN/>
        <w:adjustRightInd/>
        <w:spacing w:after="160" w:line="259" w:lineRule="auto"/>
        <w:contextualSpacing/>
        <w:jc w:val="both"/>
        <w:textAlignment w:val="auto"/>
        <w:rPr>
          <w:rFonts w:ascii="Arial" w:hAnsi="Arial" w:cs="Arial"/>
          <w:sz w:val="20"/>
          <w:lang w:val="en-GB" w:eastAsia="ja-JP"/>
        </w:rPr>
      </w:pPr>
      <w:r w:rsidRPr="00BA0D2D">
        <w:rPr>
          <w:rFonts w:ascii="Arial" w:hAnsi="Arial" w:cs="Arial"/>
          <w:sz w:val="20"/>
          <w:lang w:val="en-GB" w:eastAsia="ja-JP"/>
        </w:rPr>
        <w:t>DTX issues are not handled in this case. In our view, dealing with such issues requires some sort of connection establishment phase, which is covered in the case discussed before.</w:t>
      </w:r>
    </w:p>
    <w:p w14:paraId="0E6122EE" w14:textId="77777777" w:rsidR="00752699" w:rsidRPr="00BA0D2D" w:rsidRDefault="00752699" w:rsidP="00752699">
      <w:pPr>
        <w:pStyle w:val="ListParagraph"/>
        <w:jc w:val="both"/>
        <w:rPr>
          <w:rFonts w:ascii="Arial" w:hAnsi="Arial" w:cs="Arial"/>
          <w:lang w:val="en-GB" w:eastAsia="ja-JP"/>
        </w:rPr>
      </w:pPr>
    </w:p>
    <w:p w14:paraId="3F85B0F8" w14:textId="37EDAFB7" w:rsidR="00752699" w:rsidRPr="00BA0D2D" w:rsidRDefault="006A2F28">
      <w:pPr>
        <w:jc w:val="both"/>
        <w:rPr>
          <w:rFonts w:ascii="Arial" w:hAnsi="Arial" w:cs="Arial"/>
        </w:rPr>
      </w:pPr>
      <w:r w:rsidRPr="00BA0D2D">
        <w:rPr>
          <w:rFonts w:ascii="Arial" w:hAnsi="Arial" w:cs="Arial"/>
        </w:rPr>
        <w:t xml:space="preserve">HARQ Option 1 may be used on top of HARQ Option 2 for </w:t>
      </w:r>
      <w:r w:rsidR="0079653E" w:rsidRPr="00BA0D2D">
        <w:rPr>
          <w:rFonts w:ascii="Arial" w:hAnsi="Arial" w:cs="Arial"/>
        </w:rPr>
        <w:t xml:space="preserve">large groups with limited PSFCH resources. In such case, </w:t>
      </w:r>
      <w:r w:rsidR="00752699" w:rsidRPr="00BA0D2D">
        <w:rPr>
          <w:rFonts w:ascii="Arial" w:hAnsi="Arial" w:cs="Arial"/>
        </w:rPr>
        <w:t xml:space="preserve">it can happen that a UE joining the group at later point in time may not be able to transmit ACK messages due to unavailable </w:t>
      </w:r>
      <w:r w:rsidR="001C46F1" w:rsidRPr="00BA0D2D">
        <w:rPr>
          <w:rFonts w:ascii="Arial" w:hAnsi="Arial" w:cs="Arial"/>
        </w:rPr>
        <w:t xml:space="preserve">PSFCH </w:t>
      </w:r>
      <w:r w:rsidR="00752699" w:rsidRPr="00BA0D2D">
        <w:rPr>
          <w:rFonts w:ascii="Arial" w:hAnsi="Arial" w:cs="Arial"/>
        </w:rPr>
        <w:t>resources. Therefore, for such UEs, it is beneficial to only transmit HARQ NACK (i.e.</w:t>
      </w:r>
      <w:r w:rsidR="001C46F1" w:rsidRPr="00BA0D2D">
        <w:rPr>
          <w:rFonts w:ascii="Arial" w:hAnsi="Arial" w:cs="Arial"/>
        </w:rPr>
        <w:t>,</w:t>
      </w:r>
      <w:r w:rsidR="00752699" w:rsidRPr="00BA0D2D">
        <w:rPr>
          <w:rFonts w:ascii="Arial" w:hAnsi="Arial" w:cs="Arial"/>
        </w:rPr>
        <w:t xml:space="preserve"> operate with </w:t>
      </w:r>
      <w:r w:rsidR="001C46F1" w:rsidRPr="00BA0D2D">
        <w:rPr>
          <w:rFonts w:ascii="Arial" w:hAnsi="Arial" w:cs="Arial"/>
        </w:rPr>
        <w:t>HARQ O</w:t>
      </w:r>
      <w:r w:rsidR="00752699" w:rsidRPr="00BA0D2D">
        <w:rPr>
          <w:rFonts w:ascii="Arial" w:hAnsi="Arial" w:cs="Arial"/>
        </w:rPr>
        <w:t>ption 1 only).</w:t>
      </w:r>
    </w:p>
    <w:p w14:paraId="06E2EFE4" w14:textId="77777777" w:rsidR="00752699" w:rsidRPr="00BA0D2D" w:rsidRDefault="00752699" w:rsidP="004F0606">
      <w:pPr>
        <w:pStyle w:val="Proposal"/>
        <w:tabs>
          <w:tab w:val="num" w:pos="1304"/>
        </w:tabs>
        <w:overflowPunct/>
        <w:autoSpaceDE/>
        <w:autoSpaceDN/>
        <w:adjustRightInd/>
        <w:spacing w:line="259" w:lineRule="auto"/>
        <w:ind w:left="1304" w:hanging="1304"/>
        <w:jc w:val="left"/>
        <w:textAlignment w:val="auto"/>
        <w:rPr>
          <w:lang w:eastAsia="ja-JP"/>
        </w:rPr>
      </w:pPr>
      <w:bookmarkStart w:id="31" w:name="_Toc1039768"/>
      <w:bookmarkStart w:id="32" w:name="_Toc1120554"/>
      <w:r w:rsidRPr="00BA0D2D">
        <w:rPr>
          <w:lang w:eastAsia="ja-JP"/>
        </w:rPr>
        <w:t>Confirm the working assumption of RAN1#ah-1901 to support both option 1 and option 2 in case of groupcast communication.</w:t>
      </w:r>
      <w:bookmarkEnd w:id="31"/>
      <w:bookmarkEnd w:id="32"/>
    </w:p>
    <w:p w14:paraId="4EFEBD3B" w14:textId="4D254145" w:rsidR="00B22C6C" w:rsidRPr="00BA0D2D" w:rsidRDefault="003C6A7B" w:rsidP="00A453F4">
      <w:pPr>
        <w:jc w:val="both"/>
        <w:rPr>
          <w:rFonts w:ascii="Arial" w:hAnsi="Arial" w:cs="Arial"/>
        </w:rPr>
      </w:pPr>
      <w:r w:rsidRPr="00BA0D2D">
        <w:rPr>
          <w:rFonts w:ascii="Arial" w:hAnsi="Arial" w:cs="Arial"/>
        </w:rPr>
        <w:t xml:space="preserve">The evaluation results that we present in </w:t>
      </w:r>
      <w:r w:rsidRPr="00BA0D2D">
        <w:rPr>
          <w:rFonts w:ascii="Arial" w:hAnsi="Arial" w:cs="Arial"/>
        </w:rPr>
        <w:fldChar w:fldCharType="begin"/>
      </w:r>
      <w:r w:rsidRPr="00BA0D2D">
        <w:rPr>
          <w:rFonts w:ascii="Arial" w:hAnsi="Arial" w:cs="Arial"/>
        </w:rPr>
        <w:instrText xml:space="preserve"> REF _Ref1118811 \r \h </w:instrText>
      </w:r>
      <w:r w:rsidR="00BA0D2D">
        <w:rPr>
          <w:rFonts w:ascii="Arial" w:hAnsi="Arial" w:cs="Arial"/>
        </w:rPr>
        <w:instrText xml:space="preserve"> \* MERGEFORMAT </w:instrText>
      </w:r>
      <w:r w:rsidRPr="00BA0D2D">
        <w:rPr>
          <w:rFonts w:ascii="Arial" w:hAnsi="Arial" w:cs="Arial"/>
        </w:rPr>
      </w:r>
      <w:r w:rsidRPr="00BA0D2D">
        <w:rPr>
          <w:rFonts w:ascii="Arial" w:hAnsi="Arial" w:cs="Arial"/>
        </w:rPr>
        <w:fldChar w:fldCharType="separate"/>
      </w:r>
      <w:r w:rsidRPr="00BA0D2D">
        <w:rPr>
          <w:rFonts w:ascii="Arial" w:hAnsi="Arial" w:cs="Arial"/>
        </w:rPr>
        <w:t>[5]</w:t>
      </w:r>
      <w:r w:rsidRPr="00BA0D2D">
        <w:rPr>
          <w:rFonts w:ascii="Arial" w:hAnsi="Arial" w:cs="Arial"/>
        </w:rPr>
        <w:fldChar w:fldCharType="end"/>
      </w:r>
      <w:r w:rsidRPr="00BA0D2D">
        <w:rPr>
          <w:rFonts w:ascii="Arial" w:hAnsi="Arial" w:cs="Arial"/>
        </w:rPr>
        <w:t xml:space="preserve"> show </w:t>
      </w:r>
      <w:r w:rsidR="001F62D2" w:rsidRPr="00BA0D2D">
        <w:rPr>
          <w:rFonts w:ascii="Arial" w:hAnsi="Arial" w:cs="Arial"/>
        </w:rPr>
        <w:t xml:space="preserve">that for groupcast, </w:t>
      </w:r>
      <w:r w:rsidR="00A903F4" w:rsidRPr="00BA0D2D">
        <w:rPr>
          <w:rFonts w:ascii="Arial" w:hAnsi="Arial" w:cs="Arial"/>
        </w:rPr>
        <w:t>having all UEs in the group request HARQ retransmission in case of failed decoded degrades the performance for all users</w:t>
      </w:r>
      <w:r w:rsidR="003F4559" w:rsidRPr="00BA0D2D">
        <w:rPr>
          <w:rFonts w:ascii="Arial" w:hAnsi="Arial" w:cs="Arial"/>
        </w:rPr>
        <w:t xml:space="preserve">. </w:t>
      </w:r>
      <w:r w:rsidR="00A453F4" w:rsidRPr="00BA0D2D">
        <w:rPr>
          <w:rFonts w:ascii="Arial" w:hAnsi="Arial" w:cs="Arial"/>
        </w:rPr>
        <w:t xml:space="preserve">For </w:t>
      </w:r>
      <w:r w:rsidR="00BB5831" w:rsidRPr="00BA0D2D">
        <w:rPr>
          <w:rFonts w:ascii="Arial" w:hAnsi="Arial" w:cs="Arial"/>
        </w:rPr>
        <w:t xml:space="preserve">HARQ </w:t>
      </w:r>
      <w:r w:rsidR="00A453F4" w:rsidRPr="00BA0D2D">
        <w:rPr>
          <w:rFonts w:ascii="Arial" w:hAnsi="Arial" w:cs="Arial"/>
        </w:rPr>
        <w:t xml:space="preserve">Option 1, </w:t>
      </w:r>
      <w:r w:rsidR="00A453F4" w:rsidRPr="00BA0D2D">
        <w:rPr>
          <w:rFonts w:ascii="Arial" w:hAnsi="Arial" w:cs="Arial"/>
        </w:rPr>
        <w:lastRenderedPageBreak/>
        <w:t>we</w:t>
      </w:r>
      <w:r w:rsidR="003F4559" w:rsidRPr="00BA0D2D">
        <w:rPr>
          <w:rFonts w:ascii="Arial" w:hAnsi="Arial" w:cs="Arial"/>
        </w:rPr>
        <w:t xml:space="preserve"> believe that it is necessary to place some restrictions </w:t>
      </w:r>
      <w:r w:rsidR="004B76A8" w:rsidRPr="00BA0D2D">
        <w:rPr>
          <w:rFonts w:ascii="Arial" w:hAnsi="Arial" w:cs="Arial"/>
        </w:rPr>
        <w:t>on the transmission of HARQ</w:t>
      </w:r>
      <w:r w:rsidR="00230DD8" w:rsidRPr="00BA0D2D">
        <w:rPr>
          <w:rFonts w:ascii="Arial" w:hAnsi="Arial" w:cs="Arial"/>
        </w:rPr>
        <w:t xml:space="preserve">. </w:t>
      </w:r>
      <w:r w:rsidR="00B22C6C" w:rsidRPr="00BA0D2D">
        <w:rPr>
          <w:rFonts w:ascii="Arial" w:hAnsi="Arial" w:cs="Arial"/>
        </w:rPr>
        <w:t xml:space="preserve">For </w:t>
      </w:r>
      <w:r w:rsidR="00BB5831" w:rsidRPr="00BA0D2D">
        <w:rPr>
          <w:rFonts w:ascii="Arial" w:hAnsi="Arial" w:cs="Arial"/>
        </w:rPr>
        <w:t xml:space="preserve">HARQ </w:t>
      </w:r>
      <w:r w:rsidR="00B22C6C" w:rsidRPr="00BA0D2D">
        <w:rPr>
          <w:rFonts w:ascii="Arial" w:hAnsi="Arial" w:cs="Arial"/>
        </w:rPr>
        <w:t xml:space="preserve">Option 2, restrictions on the transmission of HARQ feedback are not desirable as </w:t>
      </w:r>
      <w:r w:rsidR="00E66213" w:rsidRPr="00BA0D2D">
        <w:rPr>
          <w:rFonts w:ascii="Arial" w:hAnsi="Arial" w:cs="Arial"/>
        </w:rPr>
        <w:t xml:space="preserve">the transmitter would not be able to distinguish them from DTX events. </w:t>
      </w:r>
      <w:r w:rsidR="00BB5831" w:rsidRPr="00BA0D2D">
        <w:rPr>
          <w:rFonts w:ascii="Arial" w:hAnsi="Arial" w:cs="Arial"/>
        </w:rPr>
        <w:t>In addition, restrictions on the retransmissions themselves may be considered for both HARQ options.</w:t>
      </w:r>
    </w:p>
    <w:p w14:paraId="5E164F21" w14:textId="77777777" w:rsidR="00E54728" w:rsidRPr="00BA0D2D" w:rsidRDefault="00E54728" w:rsidP="00E54728">
      <w:pPr>
        <w:pStyle w:val="Observation"/>
        <w:rPr>
          <w:rFonts w:eastAsia="Calibri" w:cs="Arial"/>
          <w:lang w:eastAsia="en-GB"/>
        </w:rPr>
      </w:pPr>
      <w:bookmarkStart w:id="33" w:name="_Toc1120564"/>
      <w:r w:rsidRPr="00BA0D2D">
        <w:t>For HARQ Option 1 (groupcast) it is necessary to restrict the transmission of HARQ feedback.</w:t>
      </w:r>
      <w:bookmarkEnd w:id="33"/>
    </w:p>
    <w:p w14:paraId="23FBBC3C" w14:textId="458C35DE" w:rsidR="001418DB" w:rsidRPr="00BA0D2D" w:rsidRDefault="001418DB" w:rsidP="00E54728">
      <w:pPr>
        <w:pStyle w:val="Observation"/>
        <w:rPr>
          <w:rFonts w:eastAsia="Calibri" w:cs="Arial"/>
          <w:lang w:eastAsia="en-GB"/>
        </w:rPr>
      </w:pPr>
      <w:bookmarkStart w:id="34" w:name="_Toc1120565"/>
      <w:r w:rsidRPr="00BA0D2D">
        <w:rPr>
          <w:rFonts w:eastAsia="Calibri" w:cs="Arial"/>
          <w:lang w:eastAsia="en-GB"/>
        </w:rPr>
        <w:t>Restrictions on the retransmissions of TB can be applied for both HARQ options</w:t>
      </w:r>
      <w:r w:rsidR="00226964" w:rsidRPr="00BA0D2D">
        <w:rPr>
          <w:rFonts w:eastAsia="Calibri" w:cs="Arial"/>
          <w:lang w:eastAsia="en-GB"/>
        </w:rPr>
        <w:t xml:space="preserve"> for the purpose of congestion control.</w:t>
      </w:r>
      <w:bookmarkEnd w:id="34"/>
    </w:p>
    <w:p w14:paraId="5712CC51" w14:textId="07F85D0C" w:rsidR="00752699" w:rsidRPr="00BA0D2D" w:rsidRDefault="00752699" w:rsidP="00226964">
      <w:pPr>
        <w:jc w:val="both"/>
        <w:rPr>
          <w:rFonts w:ascii="Arial" w:hAnsi="Arial"/>
          <w:bCs/>
        </w:rPr>
      </w:pPr>
      <w:r w:rsidRPr="00BA0D2D">
        <w:rPr>
          <w:rFonts w:ascii="Arial" w:hAnsi="Arial"/>
          <w:bCs/>
        </w:rPr>
        <w:t xml:space="preserve">In addition, as already agreed in RAN1#ah-1901, the time gap between PSSCH and the associated PSFCH is not </w:t>
      </w:r>
      <w:r w:rsidR="007D2DA8" w:rsidRPr="00BA0D2D">
        <w:rPr>
          <w:rFonts w:ascii="Arial" w:hAnsi="Arial"/>
          <w:bCs/>
        </w:rPr>
        <w:t>signalled</w:t>
      </w:r>
      <w:r w:rsidRPr="00BA0D2D">
        <w:rPr>
          <w:rFonts w:ascii="Arial" w:hAnsi="Arial"/>
          <w:bCs/>
        </w:rPr>
        <w:t xml:space="preserve"> via PSCCH at least for modes 2(a)(c)(d) (if respectively supported). Along this direction, we think there are two options for this. The first option would be transmitting the PSFCH with a deterministic time relationship to the associated PSSCH. In that way the time/frequency resources for the PSFCH can be </w:t>
      </w:r>
      <w:proofErr w:type="gramStart"/>
      <w:r w:rsidRPr="00BA0D2D">
        <w:rPr>
          <w:rFonts w:ascii="Arial" w:hAnsi="Arial"/>
          <w:bCs/>
        </w:rPr>
        <w:t>reserved in advance</w:t>
      </w:r>
      <w:proofErr w:type="gramEnd"/>
      <w:r w:rsidRPr="00BA0D2D">
        <w:rPr>
          <w:rFonts w:ascii="Arial" w:hAnsi="Arial"/>
          <w:bCs/>
        </w:rPr>
        <w:t xml:space="preserve"> by the control information of the PSSCH. Another advantage is that there would be a 1:1 mapping between a data transmission and its associated HARQ feedback, thereby minimizing the overhead needed for identifying the HARQ feedback at the transmitter of the data packet. The second option would be transmitting the HARQ feedback at any point in time chosen by the receiver UE of the data packet (i.e., the transmitter of the PSFCH). </w:t>
      </w:r>
      <w:bookmarkStart w:id="35" w:name="_Toc528839478"/>
      <w:bookmarkStart w:id="36" w:name="_Toc528839712"/>
      <w:bookmarkEnd w:id="35"/>
      <w:bookmarkEnd w:id="36"/>
      <w:r w:rsidRPr="00BA0D2D">
        <w:rPr>
          <w:rFonts w:ascii="Arial" w:hAnsi="Arial"/>
          <w:bCs/>
        </w:rPr>
        <w:t xml:space="preserve">Between the two options, we believe that the first one </w:t>
      </w:r>
      <w:r w:rsidR="00AC4CE7" w:rsidRPr="00BA0D2D">
        <w:rPr>
          <w:rFonts w:ascii="Arial" w:hAnsi="Arial"/>
          <w:bCs/>
        </w:rPr>
        <w:t>is simpler</w:t>
      </w:r>
      <w:r w:rsidRPr="00BA0D2D">
        <w:rPr>
          <w:rFonts w:ascii="Arial" w:hAnsi="Arial"/>
          <w:bCs/>
        </w:rPr>
        <w:t xml:space="preserve"> and requires no additional control </w:t>
      </w:r>
      <w:r w:rsidR="007D2DA8" w:rsidRPr="00BA0D2D">
        <w:rPr>
          <w:rFonts w:ascii="Arial" w:hAnsi="Arial"/>
          <w:bCs/>
        </w:rPr>
        <w:t>signalling</w:t>
      </w:r>
      <w:r w:rsidRPr="00BA0D2D">
        <w:rPr>
          <w:rFonts w:ascii="Arial" w:hAnsi="Arial"/>
          <w:bCs/>
        </w:rPr>
        <w:t xml:space="preserve">, since there will be no ambiguity on the HARQ process that the HARQ feedback refers to. On the contrary, the flexibility of option 2 comes at the expenses of more complicated resource allocation handling and SL control </w:t>
      </w:r>
      <w:r w:rsidR="007D2DA8" w:rsidRPr="00BA0D2D">
        <w:rPr>
          <w:rFonts w:ascii="Arial" w:hAnsi="Arial"/>
          <w:bCs/>
        </w:rPr>
        <w:t>signalling</w:t>
      </w:r>
      <w:r w:rsidRPr="00BA0D2D">
        <w:rPr>
          <w:rFonts w:ascii="Arial" w:hAnsi="Arial"/>
          <w:bCs/>
        </w:rPr>
        <w:t>.</w:t>
      </w:r>
    </w:p>
    <w:p w14:paraId="07352FE6" w14:textId="77777777" w:rsidR="00752699" w:rsidRPr="00BA0D2D" w:rsidRDefault="00752699" w:rsidP="00752699">
      <w:pPr>
        <w:numPr>
          <w:ilvl w:val="0"/>
          <w:numId w:val="3"/>
        </w:numPr>
        <w:tabs>
          <w:tab w:val="left" w:pos="1701"/>
        </w:tabs>
        <w:overflowPunct/>
        <w:autoSpaceDE/>
        <w:autoSpaceDN/>
        <w:adjustRightInd/>
        <w:spacing w:after="120" w:line="259" w:lineRule="auto"/>
        <w:jc w:val="both"/>
        <w:textAlignment w:val="auto"/>
        <w:rPr>
          <w:rFonts w:ascii="Arial" w:hAnsi="Arial"/>
          <w:b/>
          <w:bCs/>
        </w:rPr>
      </w:pPr>
      <w:bookmarkStart w:id="37" w:name="_Toc528950859"/>
      <w:bookmarkStart w:id="38" w:name="_Ref534702515"/>
      <w:bookmarkStart w:id="39" w:name="_Toc534807836"/>
      <w:bookmarkStart w:id="40" w:name="_Toc534811040"/>
      <w:r w:rsidRPr="00BA0D2D">
        <w:rPr>
          <w:rFonts w:ascii="Arial" w:hAnsi="Arial"/>
          <w:b/>
          <w:bCs/>
        </w:rPr>
        <w:t>NR SL supports deterministic time relation between PSFCH and its associated PSSCH</w:t>
      </w:r>
      <w:bookmarkEnd w:id="37"/>
      <w:bookmarkEnd w:id="38"/>
      <w:bookmarkEnd w:id="39"/>
      <w:bookmarkEnd w:id="40"/>
      <w:r w:rsidRPr="00BA0D2D">
        <w:rPr>
          <w:rFonts w:ascii="Arial" w:hAnsi="Arial"/>
          <w:b/>
          <w:bCs/>
        </w:rPr>
        <w:t xml:space="preserve"> for both mode-1 and mode-2.</w:t>
      </w:r>
    </w:p>
    <w:p w14:paraId="1E7B3052" w14:textId="578E86AD" w:rsidR="00752699" w:rsidRPr="00BA0D2D" w:rsidRDefault="00752699">
      <w:pPr>
        <w:tabs>
          <w:tab w:val="left" w:pos="1701"/>
        </w:tabs>
        <w:spacing w:after="120"/>
        <w:jc w:val="both"/>
        <w:rPr>
          <w:rFonts w:ascii="Arial" w:hAnsi="Arial"/>
          <w:bCs/>
        </w:rPr>
      </w:pPr>
      <w:r w:rsidRPr="00BA0D2D">
        <w:rPr>
          <w:rFonts w:ascii="Arial" w:hAnsi="Arial"/>
          <w:bCs/>
        </w:rPr>
        <w:t xml:space="preserve">Since it is already agreed that the HARQ feedback can be enabled or disabled, it may happen that the slots may not carry PSFCH. </w:t>
      </w:r>
      <w:r w:rsidR="005F7EF5" w:rsidRPr="00BA0D2D">
        <w:rPr>
          <w:rFonts w:ascii="Arial" w:hAnsi="Arial"/>
          <w:bCs/>
        </w:rPr>
        <w:t>If PSFCH is not transmitted in a slot, the resources should be used</w:t>
      </w:r>
      <w:r w:rsidRPr="00BA0D2D">
        <w:rPr>
          <w:rFonts w:ascii="Arial" w:hAnsi="Arial"/>
          <w:bCs/>
        </w:rPr>
        <w:t xml:space="preserve"> for PSSCH transmissions resulting into increased resource efficiency. Therefore, it is necessary to add a field in SCI (e.g. a single bit) to indicate if HARQ feedback is expected or not</w:t>
      </w:r>
      <w:r w:rsidR="00AA1AF6" w:rsidRPr="00BA0D2D">
        <w:rPr>
          <w:rFonts w:ascii="Arial" w:hAnsi="Arial"/>
          <w:bCs/>
        </w:rPr>
        <w:t xml:space="preserve"> in the corresponding subsequent slot</w:t>
      </w:r>
      <w:r w:rsidRPr="00BA0D2D">
        <w:rPr>
          <w:rFonts w:ascii="Arial" w:hAnsi="Arial"/>
          <w:bCs/>
        </w:rPr>
        <w:t xml:space="preserve">. </w:t>
      </w:r>
    </w:p>
    <w:p w14:paraId="76F9823E" w14:textId="2C848974"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41" w:name="_Toc1039769"/>
      <w:bookmarkStart w:id="42" w:name="_Toc1120555"/>
      <w:r w:rsidRPr="00BA0D2D">
        <w:t xml:space="preserve">Presence of PSFCH in a slot is signalled </w:t>
      </w:r>
      <w:r w:rsidR="002A662A" w:rsidRPr="00BA0D2D">
        <w:t xml:space="preserve">in the </w:t>
      </w:r>
      <w:r w:rsidRPr="00BA0D2D">
        <w:t xml:space="preserve">SCI </w:t>
      </w:r>
      <w:r w:rsidR="009D675D" w:rsidRPr="00BA0D2D">
        <w:t>associated with the corresponding</w:t>
      </w:r>
      <w:r w:rsidRPr="00BA0D2D">
        <w:t xml:space="preserve"> data transmission.</w:t>
      </w:r>
      <w:bookmarkEnd w:id="41"/>
      <w:bookmarkEnd w:id="42"/>
      <w:r w:rsidRPr="00BA0D2D">
        <w:t xml:space="preserve"> </w:t>
      </w:r>
    </w:p>
    <w:p w14:paraId="5D06772A" w14:textId="386F4820" w:rsidR="00752699" w:rsidRPr="00BA0D2D" w:rsidRDefault="00752699" w:rsidP="00752699">
      <w:pPr>
        <w:jc w:val="both"/>
        <w:rPr>
          <w:rFonts w:ascii="Arial" w:hAnsi="Arial"/>
          <w:bCs/>
        </w:rPr>
      </w:pPr>
      <w:r w:rsidRPr="00BA0D2D">
        <w:rPr>
          <w:rFonts w:ascii="Arial" w:hAnsi="Arial"/>
          <w:bCs/>
        </w:rPr>
        <w:t xml:space="preserve">In case of mode-1, we believe that it should always be </w:t>
      </w:r>
      <w:r w:rsidR="009D675D" w:rsidRPr="00BA0D2D">
        <w:rPr>
          <w:rFonts w:ascii="Arial" w:hAnsi="Arial"/>
          <w:bCs/>
        </w:rPr>
        <w:t xml:space="preserve">the </w:t>
      </w:r>
      <w:r w:rsidRPr="00BA0D2D">
        <w:rPr>
          <w:rFonts w:ascii="Arial" w:hAnsi="Arial"/>
          <w:bCs/>
        </w:rPr>
        <w:t>TX UE that indicate</w:t>
      </w:r>
      <w:r w:rsidR="009D675D" w:rsidRPr="00BA0D2D">
        <w:rPr>
          <w:rFonts w:ascii="Arial" w:hAnsi="Arial"/>
          <w:bCs/>
        </w:rPr>
        <w:t>s</w:t>
      </w:r>
      <w:r w:rsidRPr="00BA0D2D">
        <w:rPr>
          <w:rFonts w:ascii="Arial" w:hAnsi="Arial"/>
          <w:bCs/>
        </w:rPr>
        <w:t xml:space="preserve"> to </w:t>
      </w:r>
      <w:proofErr w:type="spellStart"/>
      <w:r w:rsidRPr="00BA0D2D">
        <w:rPr>
          <w:rFonts w:ascii="Arial" w:hAnsi="Arial"/>
          <w:bCs/>
        </w:rPr>
        <w:t>gNB</w:t>
      </w:r>
      <w:proofErr w:type="spellEnd"/>
      <w:r w:rsidRPr="00BA0D2D">
        <w:rPr>
          <w:rFonts w:ascii="Arial" w:hAnsi="Arial"/>
          <w:bCs/>
        </w:rPr>
        <w:t xml:space="preserve"> about the HARQ feedback i.e. forward SL HARQ ACK or NACK. This not only provides the common design considering different NR V2X scenarios i.e. in-coverage, partial coverage and out-of-coverage, but also reduce the control signalling that would require for coordination if RX UE is used for such indication. Furthermore, NR </w:t>
      </w:r>
      <w:proofErr w:type="spellStart"/>
      <w:r w:rsidRPr="00BA0D2D">
        <w:rPr>
          <w:rFonts w:ascii="Arial" w:hAnsi="Arial"/>
          <w:bCs/>
        </w:rPr>
        <w:t>Uu</w:t>
      </w:r>
      <w:proofErr w:type="spellEnd"/>
      <w:r w:rsidRPr="00BA0D2D">
        <w:rPr>
          <w:rFonts w:ascii="Arial" w:hAnsi="Arial"/>
          <w:bCs/>
        </w:rPr>
        <w:t xml:space="preserve"> framework should be reused for the SL HARQ indication on PUCCH. In our companion contribution [4], we describe the HARQ details for mode-1 operation. </w:t>
      </w:r>
    </w:p>
    <w:p w14:paraId="5C165CCC"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43" w:name="_Toc1039770"/>
      <w:bookmarkStart w:id="44" w:name="_Toc1120556"/>
      <w:r w:rsidRPr="00BA0D2D">
        <w:t xml:space="preserve">In mode-1, TX UE sends an indication to </w:t>
      </w:r>
      <w:proofErr w:type="spellStart"/>
      <w:r w:rsidRPr="00BA0D2D">
        <w:t>gNB</w:t>
      </w:r>
      <w:proofErr w:type="spellEnd"/>
      <w:r w:rsidRPr="00BA0D2D">
        <w:t xml:space="preserve"> for the need of HARQ retransmission which includes both ACK and NACK indication.</w:t>
      </w:r>
      <w:bookmarkEnd w:id="43"/>
      <w:bookmarkEnd w:id="44"/>
      <w:r w:rsidRPr="00BA0D2D">
        <w:t xml:space="preserve"> </w:t>
      </w:r>
    </w:p>
    <w:p w14:paraId="7C381D3E" w14:textId="67B98518" w:rsidR="00752699" w:rsidRPr="00BA0D2D" w:rsidRDefault="00752699" w:rsidP="00752699">
      <w:pPr>
        <w:pStyle w:val="Heading1"/>
      </w:pPr>
      <w:r w:rsidRPr="00BA0D2D">
        <w:t>5</w:t>
      </w:r>
      <w:r w:rsidRPr="00BA0D2D">
        <w:tab/>
        <w:t>Multi-antenna transmission and link adaptation</w:t>
      </w:r>
    </w:p>
    <w:p w14:paraId="4000A46E" w14:textId="77777777" w:rsidR="00752699" w:rsidRPr="00BA0D2D" w:rsidRDefault="00752699" w:rsidP="00752699">
      <w:pPr>
        <w:rPr>
          <w:rFonts w:ascii="Arial" w:eastAsia="Calibri" w:hAnsi="Arial" w:cs="Arial"/>
          <w:lang w:eastAsia="en-GB"/>
        </w:rPr>
      </w:pPr>
      <w:r w:rsidRPr="00BA0D2D">
        <w:rPr>
          <w:rFonts w:ascii="Arial" w:eastAsia="Calibri" w:hAnsi="Arial" w:cs="Arial"/>
          <w:lang w:eastAsia="en-GB"/>
        </w:rPr>
        <w:t>In RAN1#94bis, the following was agreed.</w:t>
      </w:r>
    </w:p>
    <w:tbl>
      <w:tblPr>
        <w:tblStyle w:val="TableGrid"/>
        <w:tblW w:w="0" w:type="auto"/>
        <w:tblLook w:val="04A0" w:firstRow="1" w:lastRow="0" w:firstColumn="1" w:lastColumn="0" w:noHBand="0" w:noVBand="1"/>
      </w:tblPr>
      <w:tblGrid>
        <w:gridCol w:w="9629"/>
      </w:tblGrid>
      <w:tr w:rsidR="00752699" w:rsidRPr="00BA0D2D" w14:paraId="48F020D5" w14:textId="77777777" w:rsidTr="00F804BB">
        <w:tc>
          <w:tcPr>
            <w:tcW w:w="9629" w:type="dxa"/>
          </w:tcPr>
          <w:p w14:paraId="73B0F902" w14:textId="77777777" w:rsidR="00752699" w:rsidRPr="00BA0D2D" w:rsidRDefault="00752699" w:rsidP="00F804BB">
            <w:pPr>
              <w:spacing w:before="240"/>
              <w:rPr>
                <w:rFonts w:ascii="Arial" w:hAnsi="Arial" w:cs="Arial"/>
                <w:sz w:val="20"/>
                <w:szCs w:val="20"/>
                <w:lang w:eastAsia="x-none"/>
              </w:rPr>
            </w:pPr>
            <w:r w:rsidRPr="00072733">
              <w:rPr>
                <w:rFonts w:ascii="Arial" w:hAnsi="Arial" w:cs="Arial"/>
                <w:sz w:val="20"/>
                <w:szCs w:val="20"/>
                <w:highlight w:val="green"/>
                <w:lang w:eastAsia="x-none"/>
              </w:rPr>
              <w:t>Agreements:</w:t>
            </w:r>
          </w:p>
          <w:p w14:paraId="674DB4E4" w14:textId="77777777" w:rsidR="00752699" w:rsidRPr="00BA0D2D" w:rsidRDefault="00752699" w:rsidP="00752699">
            <w:pPr>
              <w:numPr>
                <w:ilvl w:val="0"/>
                <w:numId w:val="35"/>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In the context of sidelink CSI, RAN1 to study further which of the following information is useful in sidelink operation when it is available at the transmitter.</w:t>
            </w:r>
          </w:p>
          <w:p w14:paraId="2B216FB6" w14:textId="77777777" w:rsidR="00752699" w:rsidRPr="00BA0D2D" w:rsidRDefault="00752699" w:rsidP="00752699">
            <w:pPr>
              <w:numPr>
                <w:ilvl w:val="1"/>
                <w:numId w:val="35"/>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Information representing the channel between the transmitter and receiver</w:t>
            </w:r>
          </w:p>
          <w:p w14:paraId="3CC76DA3" w14:textId="77777777" w:rsidR="00752699" w:rsidRPr="00BA0D2D" w:rsidRDefault="00752699" w:rsidP="00752699">
            <w:pPr>
              <w:numPr>
                <w:ilvl w:val="1"/>
                <w:numId w:val="35"/>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Information representing the interference at receiver</w:t>
            </w:r>
          </w:p>
          <w:p w14:paraId="49C5DBDC" w14:textId="77777777" w:rsidR="00752699" w:rsidRPr="00BA0D2D" w:rsidRDefault="00752699" w:rsidP="00752699">
            <w:pPr>
              <w:numPr>
                <w:ilvl w:val="1"/>
                <w:numId w:val="35"/>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Examples for this information are</w:t>
            </w:r>
          </w:p>
          <w:p w14:paraId="46905200" w14:textId="77777777" w:rsidR="00752699" w:rsidRPr="00BA0D2D" w:rsidRDefault="00752699" w:rsidP="00752699">
            <w:pPr>
              <w:pStyle w:val="LGTdoc"/>
              <w:numPr>
                <w:ilvl w:val="2"/>
                <w:numId w:val="36"/>
              </w:numPr>
              <w:spacing w:before="100" w:beforeAutospacing="1" w:after="120" w:afterAutospacing="1"/>
              <w:rPr>
                <w:rFonts w:ascii="Arial" w:eastAsiaTheme="minorEastAsia" w:hAnsi="Arial"/>
                <w:kern w:val="0"/>
                <w:sz w:val="20"/>
                <w:szCs w:val="20"/>
                <w:lang w:eastAsia="zh-CN"/>
              </w:rPr>
            </w:pPr>
            <w:r w:rsidRPr="00BA0D2D">
              <w:rPr>
                <w:rFonts w:ascii="Arial" w:eastAsiaTheme="minorEastAsia" w:hAnsi="Arial"/>
                <w:kern w:val="0"/>
                <w:sz w:val="20"/>
                <w:szCs w:val="20"/>
                <w:lang w:eastAsia="zh-CN"/>
              </w:rPr>
              <w:t xml:space="preserve">CQI, PMI, RI, RSRP, RSRQ, </w:t>
            </w:r>
            <w:proofErr w:type="spellStart"/>
            <w:r w:rsidRPr="00BA0D2D">
              <w:rPr>
                <w:rFonts w:ascii="Arial" w:eastAsiaTheme="minorEastAsia" w:hAnsi="Arial"/>
                <w:kern w:val="0"/>
                <w:sz w:val="20"/>
                <w:szCs w:val="20"/>
                <w:lang w:eastAsia="zh-CN"/>
              </w:rPr>
              <w:t>pathgain</w:t>
            </w:r>
            <w:proofErr w:type="spellEnd"/>
            <w:r w:rsidRPr="00BA0D2D">
              <w:rPr>
                <w:rFonts w:ascii="Arial" w:eastAsiaTheme="minorEastAsia" w:hAnsi="Arial"/>
                <w:kern w:val="0"/>
                <w:sz w:val="20"/>
                <w:szCs w:val="20"/>
                <w:lang w:eastAsia="zh-CN"/>
              </w:rPr>
              <w:t>/pathloss, SRI, CRI, interference condition, vehicle motion</w:t>
            </w:r>
          </w:p>
          <w:p w14:paraId="29A6A3FE" w14:textId="77777777" w:rsidR="00752699" w:rsidRPr="00BA0D2D" w:rsidRDefault="00752699" w:rsidP="00752699">
            <w:pPr>
              <w:numPr>
                <w:ilvl w:val="1"/>
                <w:numId w:val="35"/>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lastRenderedPageBreak/>
              <w:t>FFS including</w:t>
            </w:r>
          </w:p>
          <w:p w14:paraId="78EE0084" w14:textId="77777777" w:rsidR="00752699" w:rsidRPr="00BA0D2D" w:rsidRDefault="00752699" w:rsidP="00752699">
            <w:pPr>
              <w:numPr>
                <w:ilvl w:val="2"/>
                <w:numId w:val="37"/>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Such information can be acquired using reciprocity or feedback</w:t>
            </w:r>
          </w:p>
          <w:p w14:paraId="5D96BF76" w14:textId="77777777" w:rsidR="00752699" w:rsidRPr="00BA0D2D" w:rsidRDefault="00752699" w:rsidP="00752699">
            <w:pPr>
              <w:numPr>
                <w:ilvl w:val="2"/>
                <w:numId w:val="37"/>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Time scale of the information</w:t>
            </w:r>
          </w:p>
          <w:p w14:paraId="7B3C0747" w14:textId="77777777" w:rsidR="00752699" w:rsidRPr="00BA0D2D" w:rsidRDefault="00752699" w:rsidP="00752699">
            <w:pPr>
              <w:numPr>
                <w:ilvl w:val="2"/>
                <w:numId w:val="37"/>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Which information is useful in which operation and scenario</w:t>
            </w:r>
          </w:p>
        </w:tc>
      </w:tr>
    </w:tbl>
    <w:p w14:paraId="3F2876E7" w14:textId="77777777" w:rsidR="00752699" w:rsidRPr="00BA0D2D" w:rsidRDefault="00752699" w:rsidP="00752699">
      <w:pPr>
        <w:spacing w:before="240"/>
        <w:jc w:val="both"/>
        <w:rPr>
          <w:rFonts w:ascii="Arial" w:hAnsi="Arial" w:cs="Arial"/>
        </w:rPr>
      </w:pPr>
      <w:r w:rsidRPr="00BA0D2D">
        <w:rPr>
          <w:rFonts w:ascii="Arial" w:hAnsi="Arial" w:cs="Arial"/>
        </w:rPr>
        <w:lastRenderedPageBreak/>
        <w:t>In RAN1#ah1901, the following agreements were made:</w:t>
      </w:r>
    </w:p>
    <w:tbl>
      <w:tblPr>
        <w:tblStyle w:val="TableGrid"/>
        <w:tblW w:w="0" w:type="auto"/>
        <w:tblLook w:val="04A0" w:firstRow="1" w:lastRow="0" w:firstColumn="1" w:lastColumn="0" w:noHBand="0" w:noVBand="1"/>
      </w:tblPr>
      <w:tblGrid>
        <w:gridCol w:w="9629"/>
      </w:tblGrid>
      <w:tr w:rsidR="00752699" w:rsidRPr="00BA0D2D" w14:paraId="66B31351" w14:textId="77777777" w:rsidTr="00F804BB">
        <w:tc>
          <w:tcPr>
            <w:tcW w:w="9629" w:type="dxa"/>
          </w:tcPr>
          <w:p w14:paraId="0E66487F" w14:textId="77777777" w:rsidR="00752699" w:rsidRPr="00BA0D2D" w:rsidRDefault="00752699" w:rsidP="00F804BB">
            <w:pPr>
              <w:spacing w:before="240"/>
              <w:rPr>
                <w:rFonts w:ascii="Arial" w:hAnsi="Arial" w:cs="Arial"/>
                <w:sz w:val="20"/>
                <w:szCs w:val="20"/>
                <w:lang w:eastAsia="x-none"/>
              </w:rPr>
            </w:pPr>
            <w:r w:rsidRPr="00072733">
              <w:rPr>
                <w:rFonts w:ascii="Arial" w:hAnsi="Arial" w:cs="Arial"/>
                <w:sz w:val="20"/>
                <w:szCs w:val="20"/>
                <w:highlight w:val="green"/>
                <w:lang w:eastAsia="x-none"/>
              </w:rPr>
              <w:t>Agreements:</w:t>
            </w:r>
          </w:p>
          <w:p w14:paraId="04F7FC0B" w14:textId="77777777" w:rsidR="00752699" w:rsidRPr="00BA0D2D" w:rsidRDefault="00752699" w:rsidP="00752699">
            <w:pPr>
              <w:numPr>
                <w:ilvl w:val="0"/>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lang w:val="en-GB"/>
              </w:rPr>
              <w:t>Long-term measurement of sidelink signal is supported at least for unicast.</w:t>
            </w:r>
          </w:p>
          <w:p w14:paraId="388CE58C" w14:textId="77777777" w:rsidR="00752699" w:rsidRPr="00BA0D2D" w:rsidRDefault="00752699" w:rsidP="00752699">
            <w:pPr>
              <w:numPr>
                <w:ilvl w:val="1"/>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lang w:val="en-GB"/>
              </w:rPr>
              <w:t>Long-term measurement here means a measurement with L3 filtering.</w:t>
            </w:r>
          </w:p>
          <w:p w14:paraId="104F0481" w14:textId="77777777" w:rsidR="00752699" w:rsidRPr="00BA0D2D" w:rsidRDefault="00752699" w:rsidP="00752699">
            <w:pPr>
              <w:numPr>
                <w:ilvl w:val="1"/>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lang w:val="en-GB"/>
              </w:rPr>
              <w:t>This measurement is used at least for the open-loop power control.</w:t>
            </w:r>
          </w:p>
          <w:p w14:paraId="426C77C5" w14:textId="77777777" w:rsidR="00752699" w:rsidRPr="00BA0D2D" w:rsidRDefault="00752699" w:rsidP="00752699">
            <w:pPr>
              <w:pStyle w:val="LGTdoc"/>
              <w:numPr>
                <w:ilvl w:val="2"/>
                <w:numId w:val="42"/>
              </w:numPr>
              <w:spacing w:before="100" w:beforeAutospacing="1" w:after="120" w:afterAutospacing="1"/>
              <w:rPr>
                <w:rFonts w:ascii="Arial" w:hAnsi="Arial"/>
                <w:sz w:val="20"/>
                <w:szCs w:val="20"/>
              </w:rPr>
            </w:pPr>
            <w:r w:rsidRPr="00BA0D2D">
              <w:rPr>
                <w:rFonts w:ascii="Arial" w:hAnsi="Arial"/>
                <w:sz w:val="20"/>
                <w:szCs w:val="20"/>
                <w:lang w:val="en-GB"/>
              </w:rPr>
              <w:t>FFS for other purpose</w:t>
            </w:r>
          </w:p>
          <w:p w14:paraId="563B8F2A" w14:textId="77777777" w:rsidR="00752699" w:rsidRPr="00BA0D2D" w:rsidRDefault="00752699" w:rsidP="00752699">
            <w:pPr>
              <w:numPr>
                <w:ilvl w:val="1"/>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rPr>
              <w:t xml:space="preserve"> </w:t>
            </w:r>
            <w:r w:rsidRPr="00BA0D2D">
              <w:rPr>
                <w:rFonts w:ascii="Arial" w:hAnsi="Arial"/>
                <w:sz w:val="20"/>
                <w:szCs w:val="20"/>
                <w:lang w:val="x-none"/>
              </w:rPr>
              <w:t>FFS: measurement metric</w:t>
            </w:r>
          </w:p>
          <w:p w14:paraId="45F02CDA" w14:textId="77777777" w:rsidR="00752699" w:rsidRPr="00BA0D2D" w:rsidRDefault="00752699" w:rsidP="00752699">
            <w:pPr>
              <w:numPr>
                <w:ilvl w:val="1"/>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lang w:val="en-GB"/>
              </w:rPr>
              <w:t>FFS: which signal is used</w:t>
            </w:r>
          </w:p>
          <w:p w14:paraId="29F584EF" w14:textId="77777777" w:rsidR="00752699" w:rsidRPr="00BA0D2D" w:rsidRDefault="00752699" w:rsidP="00752699">
            <w:pPr>
              <w:numPr>
                <w:ilvl w:val="1"/>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lang w:val="en-GB"/>
              </w:rPr>
              <w:t>FFS: whether feedback of this measurement is needed</w:t>
            </w:r>
          </w:p>
          <w:p w14:paraId="60DF0441" w14:textId="385F407C" w:rsidR="00752699" w:rsidRPr="00BA0D2D" w:rsidRDefault="00752699" w:rsidP="004F0606">
            <w:pPr>
              <w:numPr>
                <w:ilvl w:val="1"/>
                <w:numId w:val="42"/>
              </w:numPr>
              <w:overflowPunct/>
              <w:autoSpaceDE/>
              <w:autoSpaceDN/>
              <w:adjustRightInd/>
              <w:spacing w:after="160" w:line="259" w:lineRule="auto"/>
              <w:jc w:val="both"/>
              <w:textAlignment w:val="auto"/>
              <w:rPr>
                <w:rFonts w:ascii="Arial" w:hAnsi="Arial"/>
                <w:sz w:val="20"/>
                <w:szCs w:val="20"/>
              </w:rPr>
            </w:pPr>
            <w:r w:rsidRPr="00BA0D2D">
              <w:rPr>
                <w:rFonts w:ascii="Arial" w:hAnsi="Arial"/>
                <w:sz w:val="20"/>
                <w:szCs w:val="20"/>
                <w:lang w:val="en-GB"/>
              </w:rPr>
              <w:t>FFS whether this is applicable to groupcast</w:t>
            </w:r>
          </w:p>
        </w:tc>
      </w:tr>
    </w:tbl>
    <w:p w14:paraId="7EF9053B" w14:textId="3939A8D1" w:rsidR="00752699" w:rsidRPr="00BA0D2D" w:rsidRDefault="00752699" w:rsidP="00752699">
      <w:pPr>
        <w:spacing w:before="240"/>
        <w:jc w:val="both"/>
      </w:pPr>
      <w:r w:rsidRPr="00BA0D2D">
        <w:rPr>
          <w:rFonts w:ascii="Arial" w:hAnsi="Arial"/>
        </w:rPr>
        <w:t xml:space="preserve">In this section, we continue our discussions on CSIT aspects for sidelink unicast. Among the 25 eV2X use cases identified by SA1, two that need SL unicast are: 1) platooning; 2) video data sharing for assisted and improved automated driving (which is </w:t>
      </w:r>
      <w:proofErr w:type="gramStart"/>
      <w:r w:rsidRPr="00BA0D2D">
        <w:rPr>
          <w:rFonts w:ascii="Arial" w:hAnsi="Arial"/>
        </w:rPr>
        <w:t>similar to</w:t>
      </w:r>
      <w:proofErr w:type="gramEnd"/>
      <w:r w:rsidRPr="00BA0D2D">
        <w:rPr>
          <w:rFonts w:ascii="Arial" w:hAnsi="Arial"/>
        </w:rPr>
        <w:t xml:space="preserve"> the see-through use case). Typically, for these two use cases, there is LOS between two communicating vehicles and they have low relative speeds as well. Hence, the resulting environment is relatively static as compared to the typical V2X scenario.</w:t>
      </w:r>
    </w:p>
    <w:p w14:paraId="324A9D79" w14:textId="77777777" w:rsidR="00752699" w:rsidRPr="00BA0D2D" w:rsidRDefault="00752699" w:rsidP="00752699">
      <w:pPr>
        <w:jc w:val="both"/>
        <w:rPr>
          <w:rFonts w:ascii="Arial" w:hAnsi="Arial" w:cs="Arial"/>
        </w:rPr>
      </w:pPr>
      <w:r w:rsidRPr="00BA0D2D">
        <w:rPr>
          <w:rFonts w:ascii="Arial" w:hAnsi="Arial" w:cs="Arial"/>
        </w:rPr>
        <w:t>CSIT can be exploited to improve system spectral efficiency via link adaptation. For example, based on some measurement report from the target receiver, e.g., CQI report, the SL transmitter can adapt its MCS to the link conditions, including both channel and interference situations. More specifically, higher-order modulation operation for sidelink communications can be used to attain higher data rate in situations with good channel quality. On the other hand, a more robust modulation and coding scheme (MCS) can be used to achieve reliable communication in situations with bad channel quality.</w:t>
      </w:r>
    </w:p>
    <w:p w14:paraId="7387FA4E" w14:textId="77777777" w:rsidR="00752699" w:rsidRPr="00BA0D2D" w:rsidRDefault="00752699" w:rsidP="00752699">
      <w:pPr>
        <w:jc w:val="both"/>
        <w:rPr>
          <w:rFonts w:ascii="Arial" w:hAnsi="Arial" w:cs="Arial"/>
        </w:rPr>
      </w:pPr>
      <w:r w:rsidRPr="00BA0D2D">
        <w:rPr>
          <w:rFonts w:ascii="Arial" w:hAnsi="Arial" w:cs="Arial"/>
        </w:rPr>
        <w:t xml:space="preserve">Moreover, with accurate CSIT, the SL transmitter can select appropriate precoders based on the service requirements and the current channel and/or interference situations. For instance, to support use cases requiring high data rate, e.g., video data sharing and see-through, a selection of multi-layer precoder depending on the current channel condition is needed. On the other hand, to efficiently support platooning, an appropriate selection of one-layer precoder can be useful to not only improve the desired link but to also reduce interference to other transmissions. </w:t>
      </w:r>
    </w:p>
    <w:p w14:paraId="429A69E3" w14:textId="77777777" w:rsidR="00752699" w:rsidRPr="00BA0D2D" w:rsidRDefault="00752699" w:rsidP="004F0606">
      <w:pPr>
        <w:pStyle w:val="Observation"/>
        <w:overflowPunct/>
        <w:autoSpaceDE/>
        <w:autoSpaceDN/>
        <w:adjustRightInd/>
        <w:spacing w:line="259" w:lineRule="auto"/>
        <w:ind w:left="360" w:hanging="360"/>
        <w:textAlignment w:val="auto"/>
        <w:rPr>
          <w:rFonts w:cs="Arial"/>
          <w:lang w:eastAsia="zh-CN"/>
        </w:rPr>
      </w:pPr>
      <w:bookmarkStart w:id="45" w:name="_Toc528950787"/>
      <w:bookmarkStart w:id="46" w:name="_Ref534700732"/>
      <w:bookmarkStart w:id="47" w:name="_Toc534809988"/>
      <w:bookmarkStart w:id="48" w:name="_Toc534809991"/>
      <w:bookmarkStart w:id="49" w:name="_Toc534992858"/>
      <w:bookmarkStart w:id="50" w:name="_Toc1039779"/>
      <w:bookmarkStart w:id="51" w:name="_Toc1120566"/>
      <w:r w:rsidRPr="00BA0D2D">
        <w:rPr>
          <w:rFonts w:cs="Arial"/>
          <w:lang w:eastAsia="zh-CN"/>
        </w:rPr>
        <w:t>Sidelink CSIT can enable link adaptation and precoder selection for sidelink unicast.</w:t>
      </w:r>
      <w:bookmarkEnd w:id="45"/>
      <w:bookmarkEnd w:id="46"/>
      <w:bookmarkEnd w:id="47"/>
      <w:bookmarkEnd w:id="48"/>
      <w:bookmarkEnd w:id="49"/>
      <w:bookmarkEnd w:id="50"/>
      <w:bookmarkEnd w:id="51"/>
    </w:p>
    <w:p w14:paraId="38DD0481" w14:textId="740E369C" w:rsidR="00752699" w:rsidRPr="00BA0D2D" w:rsidRDefault="00752699" w:rsidP="00752699">
      <w:pPr>
        <w:jc w:val="both"/>
        <w:rPr>
          <w:rFonts w:ascii="Arial" w:hAnsi="Arial" w:cs="Arial"/>
        </w:rPr>
      </w:pPr>
      <w:r w:rsidRPr="00BA0D2D">
        <w:rPr>
          <w:rFonts w:ascii="Arial" w:hAnsi="Arial" w:cs="Arial"/>
        </w:rPr>
        <w:t xml:space="preserve">To enable SL link adaptation and precoder selection described above, in our view at least RI, PMI, and CQI reports should be supported. On the other hand, to reduce </w:t>
      </w:r>
      <w:r w:rsidR="0042046F" w:rsidRPr="00BA0D2D">
        <w:rPr>
          <w:rFonts w:ascii="Arial" w:hAnsi="Arial" w:cs="Arial"/>
        </w:rPr>
        <w:t>signalling</w:t>
      </w:r>
      <w:r w:rsidRPr="00BA0D2D">
        <w:rPr>
          <w:rFonts w:ascii="Arial" w:hAnsi="Arial" w:cs="Arial"/>
        </w:rPr>
        <w:t xml:space="preserve"> overhead and to make the reported parameters robust to the varying channel conditions, only wideband or long-term PMI and CQI reports are needed. Here by wideband, we mean that for a specific CSI report parameter, only the measurement representing the whole bandwidth transmitting the corresponding SL CSI reference signal is reported. Note that wide-band CSI reports are valid for longer time scale, i.e., such reports are valid over several slots. </w:t>
      </w:r>
    </w:p>
    <w:p w14:paraId="120296F1" w14:textId="77777777" w:rsidR="00752699" w:rsidRPr="00BA0D2D" w:rsidRDefault="00752699" w:rsidP="00752699">
      <w:pPr>
        <w:jc w:val="both"/>
        <w:rPr>
          <w:rFonts w:ascii="Arial" w:hAnsi="Arial" w:cs="Arial"/>
        </w:rPr>
      </w:pPr>
      <w:r w:rsidRPr="00BA0D2D">
        <w:rPr>
          <w:rFonts w:ascii="Arial" w:hAnsi="Arial" w:cs="Arial"/>
        </w:rPr>
        <w:t xml:space="preserve">In the following, we provide some simulation results for sidelink unicast, including link adaptation and multi-antenna transmission. For link adaptation, we consider: </w:t>
      </w:r>
    </w:p>
    <w:p w14:paraId="0865595F" w14:textId="77777777" w:rsidR="00752699" w:rsidRPr="00BA0D2D" w:rsidRDefault="00752699" w:rsidP="00752699">
      <w:pPr>
        <w:pStyle w:val="ListParagraph"/>
        <w:numPr>
          <w:ilvl w:val="0"/>
          <w:numId w:val="39"/>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ACK/NACK-based outer-loop link adaptation (OLLA)</w:t>
      </w:r>
    </w:p>
    <w:p w14:paraId="33223F5E" w14:textId="77777777" w:rsidR="00752699" w:rsidRPr="00BA0D2D" w:rsidRDefault="00752699" w:rsidP="00752699">
      <w:pPr>
        <w:pStyle w:val="ListParagraph"/>
        <w:numPr>
          <w:ilvl w:val="0"/>
          <w:numId w:val="39"/>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 xml:space="preserve">Wideband CQI-based inner-loop link adaptation (ILLA). </w:t>
      </w:r>
    </w:p>
    <w:p w14:paraId="43E5D948" w14:textId="77777777" w:rsidR="00752699" w:rsidRPr="00BA0D2D" w:rsidRDefault="00752699" w:rsidP="00752699">
      <w:pPr>
        <w:spacing w:before="240"/>
        <w:jc w:val="both"/>
        <w:rPr>
          <w:rFonts w:ascii="Arial" w:hAnsi="Arial" w:cs="Arial"/>
        </w:rPr>
      </w:pPr>
      <w:r w:rsidRPr="00BA0D2D">
        <w:rPr>
          <w:rFonts w:ascii="Arial" w:hAnsi="Arial" w:cs="Arial"/>
        </w:rPr>
        <w:lastRenderedPageBreak/>
        <w:t xml:space="preserve">For multi-antenna transmission, we consider: </w:t>
      </w:r>
    </w:p>
    <w:p w14:paraId="63CD7AB7" w14:textId="77777777" w:rsidR="00752699" w:rsidRPr="00BA0D2D" w:rsidRDefault="00752699" w:rsidP="00752699">
      <w:pPr>
        <w:pStyle w:val="ListParagraph"/>
        <w:numPr>
          <w:ilvl w:val="0"/>
          <w:numId w:val="40"/>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Random precoder selection (RPS) with PRB bundling size of 4 PRBs.</w:t>
      </w:r>
    </w:p>
    <w:p w14:paraId="5CE9BD55" w14:textId="77777777" w:rsidR="00752699" w:rsidRPr="00BA0D2D" w:rsidRDefault="00752699" w:rsidP="00752699">
      <w:pPr>
        <w:pStyle w:val="ListParagraph"/>
        <w:numPr>
          <w:ilvl w:val="0"/>
          <w:numId w:val="40"/>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 xml:space="preserve">Closed-loop MIMO (CL-MIMO) based on RI and wideband PMI feedback. </w:t>
      </w:r>
    </w:p>
    <w:p w14:paraId="0E115394" w14:textId="77777777" w:rsidR="00752699" w:rsidRPr="00BA0D2D" w:rsidRDefault="00752699" w:rsidP="00752699">
      <w:pPr>
        <w:spacing w:before="240"/>
        <w:jc w:val="both"/>
        <w:rPr>
          <w:rFonts w:ascii="Arial" w:hAnsi="Arial" w:cs="Arial"/>
        </w:rPr>
      </w:pPr>
      <w:r w:rsidRPr="00BA0D2D">
        <w:rPr>
          <w:rFonts w:ascii="Arial" w:hAnsi="Arial" w:cs="Arial"/>
        </w:rPr>
        <w:t>For both schemes, the precoders are selected from the NR type-1 codebooks. The remaining simulation assumptions are captured in Appendix. The schemes we have compared include the following.</w:t>
      </w:r>
    </w:p>
    <w:p w14:paraId="49C0053E" w14:textId="77777777" w:rsidR="00752699" w:rsidRPr="00BA0D2D" w:rsidRDefault="00752699" w:rsidP="00752699">
      <w:pPr>
        <w:pStyle w:val="ListParagraph"/>
        <w:numPr>
          <w:ilvl w:val="0"/>
          <w:numId w:val="38"/>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 xml:space="preserve">Joint </w:t>
      </w:r>
      <w:r w:rsidRPr="00BA0D2D">
        <w:rPr>
          <w:rFonts w:ascii="Arial" w:hAnsi="Arial" w:cs="Arial"/>
          <w:b/>
          <w:sz w:val="20"/>
          <w:szCs w:val="20"/>
        </w:rPr>
        <w:t>CL-MIMO and LA</w:t>
      </w:r>
      <w:r w:rsidRPr="00BA0D2D">
        <w:rPr>
          <w:rFonts w:ascii="Arial" w:hAnsi="Arial" w:cs="Arial"/>
          <w:sz w:val="20"/>
          <w:szCs w:val="20"/>
        </w:rPr>
        <w:t>, where RI, wideband PMI and CQI are calculated using non-precoded CSI-RS. Here LA includes both OLLA and ILLA. The number of transmission layers can be either 1 or 2 depending on the calculated RI.</w:t>
      </w:r>
    </w:p>
    <w:p w14:paraId="6696095E" w14:textId="77777777" w:rsidR="00752699" w:rsidRPr="00BA0D2D" w:rsidRDefault="00752699" w:rsidP="00752699">
      <w:pPr>
        <w:pStyle w:val="ListParagraph"/>
        <w:numPr>
          <w:ilvl w:val="0"/>
          <w:numId w:val="38"/>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 xml:space="preserve">Joint </w:t>
      </w:r>
      <w:r w:rsidRPr="00BA0D2D">
        <w:rPr>
          <w:rFonts w:ascii="Arial" w:hAnsi="Arial" w:cs="Arial"/>
          <w:b/>
          <w:sz w:val="20"/>
          <w:szCs w:val="20"/>
        </w:rPr>
        <w:t>RPS and OLLA</w:t>
      </w:r>
      <w:r w:rsidRPr="00BA0D2D">
        <w:rPr>
          <w:rFonts w:ascii="Arial" w:hAnsi="Arial" w:cs="Arial"/>
          <w:sz w:val="20"/>
          <w:szCs w:val="20"/>
        </w:rPr>
        <w:t xml:space="preserve"> with 2-layer transmission. </w:t>
      </w:r>
    </w:p>
    <w:p w14:paraId="24F23FEE" w14:textId="77777777" w:rsidR="00752699" w:rsidRPr="00BA0D2D" w:rsidRDefault="00752699" w:rsidP="00752699">
      <w:pPr>
        <w:pStyle w:val="ListParagraph"/>
        <w:numPr>
          <w:ilvl w:val="0"/>
          <w:numId w:val="38"/>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 xml:space="preserve">Joint </w:t>
      </w:r>
      <w:r w:rsidRPr="00BA0D2D">
        <w:rPr>
          <w:rFonts w:ascii="Arial" w:hAnsi="Arial" w:cs="Arial"/>
          <w:b/>
          <w:sz w:val="20"/>
          <w:szCs w:val="20"/>
        </w:rPr>
        <w:t>RPS and fixed MCS</w:t>
      </w:r>
      <w:r w:rsidRPr="00BA0D2D">
        <w:rPr>
          <w:rFonts w:ascii="Arial" w:hAnsi="Arial" w:cs="Arial"/>
          <w:sz w:val="20"/>
          <w:szCs w:val="20"/>
        </w:rPr>
        <w:t xml:space="preserve"> with 2-layer transmission, where 64QAM with a code rate of 0.6 is used.</w:t>
      </w:r>
    </w:p>
    <w:p w14:paraId="7C8B4CB2" w14:textId="77777777" w:rsidR="00752699" w:rsidRPr="00BA0D2D" w:rsidRDefault="00752699" w:rsidP="00752699">
      <w:pPr>
        <w:pStyle w:val="ListParagraph"/>
        <w:jc w:val="both"/>
        <w:rPr>
          <w:rFonts w:ascii="Arial" w:hAnsi="Arial" w:cs="Arial"/>
          <w:sz w:val="20"/>
          <w:szCs w:val="20"/>
        </w:rPr>
      </w:pPr>
    </w:p>
    <w:p w14:paraId="070A548F" w14:textId="6F92C051" w:rsidR="00752699" w:rsidRPr="00BA0D2D" w:rsidRDefault="00752699" w:rsidP="00752699">
      <w:pPr>
        <w:jc w:val="both"/>
        <w:rPr>
          <w:rFonts w:ascii="Arial" w:hAnsi="Arial" w:cs="Arial"/>
        </w:rPr>
      </w:pPr>
      <w:r w:rsidRPr="00BA0D2D">
        <w:rPr>
          <w:rFonts w:ascii="Arial" w:hAnsi="Arial" w:cs="Arial"/>
        </w:rPr>
        <w:fldChar w:fldCharType="begin"/>
      </w:r>
      <w:r w:rsidRPr="00BA0D2D">
        <w:rPr>
          <w:rFonts w:ascii="Arial" w:hAnsi="Arial" w:cs="Arial"/>
        </w:rPr>
        <w:instrText xml:space="preserve"> REF _Ref534791531 \h  \* MERGEFORMAT </w:instrText>
      </w:r>
      <w:r w:rsidRPr="00BA0D2D">
        <w:rPr>
          <w:rFonts w:ascii="Arial" w:hAnsi="Arial" w:cs="Arial"/>
        </w:rPr>
      </w:r>
      <w:r w:rsidRPr="00BA0D2D">
        <w:rPr>
          <w:rFonts w:ascii="Arial" w:hAnsi="Arial" w:cs="Arial"/>
        </w:rPr>
        <w:fldChar w:fldCharType="separate"/>
      </w:r>
      <w:r w:rsidRPr="00BA0D2D">
        <w:rPr>
          <w:rFonts w:ascii="Arial" w:hAnsi="Arial" w:cs="Arial"/>
        </w:rPr>
        <w:t>Figure 1</w:t>
      </w:r>
      <w:r w:rsidRPr="00BA0D2D">
        <w:rPr>
          <w:rFonts w:ascii="Arial" w:hAnsi="Arial" w:cs="Arial"/>
        </w:rPr>
        <w:fldChar w:fldCharType="end"/>
      </w:r>
      <w:r w:rsidRPr="00BA0D2D">
        <w:rPr>
          <w:rFonts w:ascii="Arial" w:hAnsi="Arial" w:cs="Arial"/>
        </w:rPr>
        <w:t xml:space="preserve"> evaluates throughput for urban LOS scenario, where Tx and Rx UEs are driven along the same direction and have speeds of 60km/h and 65km/h, respectively. Note that for CL-MIMO, the resource elements used for transmitting SL CSI-RS are excluded when mapping data. Our observations are the following.</w:t>
      </w:r>
    </w:p>
    <w:p w14:paraId="325AAA39" w14:textId="77777777" w:rsidR="00752699" w:rsidRPr="00BA0D2D" w:rsidRDefault="00752699" w:rsidP="00752699">
      <w:pPr>
        <w:pStyle w:val="ListParagraph"/>
        <w:numPr>
          <w:ilvl w:val="0"/>
          <w:numId w:val="41"/>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Joint RPS and fixed MCS performs very poorly and starts to saturate from 15dB.</w:t>
      </w:r>
    </w:p>
    <w:p w14:paraId="5B410FFE" w14:textId="3F97AEE1" w:rsidR="00752699" w:rsidRPr="00BA0D2D" w:rsidRDefault="00752699" w:rsidP="00752699">
      <w:pPr>
        <w:pStyle w:val="ListParagraph"/>
        <w:numPr>
          <w:ilvl w:val="0"/>
          <w:numId w:val="41"/>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 xml:space="preserve">Joint RPS and OLLA shows acceptable performance. It is worth to mention that we consider full buffer traffic model, where ACK/NACK feedback is performed for every slot and with a delay of 4 slots. </w:t>
      </w:r>
      <w:r w:rsidR="00E27AD2" w:rsidRPr="00BA0D2D">
        <w:rPr>
          <w:rFonts w:ascii="Arial" w:hAnsi="Arial" w:cs="Arial"/>
          <w:sz w:val="20"/>
          <w:szCs w:val="20"/>
          <w:lang w:val="en-US"/>
        </w:rPr>
        <w:t>In our view, t</w:t>
      </w:r>
      <w:r w:rsidRPr="00BA0D2D">
        <w:rPr>
          <w:rFonts w:ascii="Arial" w:hAnsi="Arial" w:cs="Arial"/>
          <w:sz w:val="20"/>
          <w:szCs w:val="20"/>
        </w:rPr>
        <w:t>his frequent ACK/NACK feedback contributes to the relatively good performance of OLLA.</w:t>
      </w:r>
    </w:p>
    <w:p w14:paraId="6A0F6175" w14:textId="77777777" w:rsidR="00752699" w:rsidRPr="00BA0D2D" w:rsidRDefault="00752699" w:rsidP="00752699">
      <w:pPr>
        <w:pStyle w:val="ListParagraph"/>
        <w:numPr>
          <w:ilvl w:val="0"/>
          <w:numId w:val="41"/>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Joint CL-MIMO and LA brings clear improvement compared to the other schemes, even with a relatively long CSI report periodicity.</w:t>
      </w:r>
    </w:p>
    <w:p w14:paraId="6B1AABB4" w14:textId="77777777" w:rsidR="00752699" w:rsidRPr="00BA0D2D" w:rsidRDefault="00752699" w:rsidP="00AB223A">
      <w:pPr>
        <w:jc w:val="center"/>
      </w:pPr>
      <w:r w:rsidRPr="00BA0D2D">
        <w:rPr>
          <w:noProof/>
        </w:rPr>
        <w:drawing>
          <wp:inline distT="0" distB="0" distL="0" distR="0" wp14:anchorId="34D3DB92" wp14:editId="3E9B3160">
            <wp:extent cx="4320540" cy="308687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6297" cy="3098127"/>
                    </a:xfrm>
                    <a:prstGeom prst="rect">
                      <a:avLst/>
                    </a:prstGeom>
                    <a:noFill/>
                    <a:ln>
                      <a:noFill/>
                    </a:ln>
                  </pic:spPr>
                </pic:pic>
              </a:graphicData>
            </a:graphic>
          </wp:inline>
        </w:drawing>
      </w:r>
    </w:p>
    <w:p w14:paraId="793A0F4C" w14:textId="30D061EE" w:rsidR="00752699" w:rsidRPr="00BA0D2D" w:rsidRDefault="00752699" w:rsidP="00AB223A">
      <w:pPr>
        <w:pStyle w:val="Caption"/>
        <w:jc w:val="center"/>
        <w:rPr>
          <w:rFonts w:ascii="Arial" w:hAnsi="Arial" w:cs="Arial"/>
          <w:lang w:eastAsia="ja-JP"/>
        </w:rPr>
      </w:pPr>
      <w:bookmarkStart w:id="52" w:name="_Ref534791531"/>
      <w:bookmarkStart w:id="53" w:name="_Ref534791524"/>
      <w:r w:rsidRPr="00BA0D2D">
        <w:rPr>
          <w:rFonts w:ascii="Arial" w:hAnsi="Arial" w:cs="Arial"/>
        </w:rPr>
        <w:t xml:space="preserve">Figure </w:t>
      </w:r>
      <w:r w:rsidRPr="00BA0D2D">
        <w:rPr>
          <w:rFonts w:ascii="Arial" w:hAnsi="Arial" w:cs="Arial"/>
        </w:rPr>
        <w:fldChar w:fldCharType="begin"/>
      </w:r>
      <w:r w:rsidRPr="00BA0D2D">
        <w:rPr>
          <w:rFonts w:ascii="Arial" w:hAnsi="Arial" w:cs="Arial"/>
        </w:rPr>
        <w:instrText xml:space="preserve"> SEQ Figure \* ARABIC </w:instrText>
      </w:r>
      <w:r w:rsidRPr="00BA0D2D">
        <w:rPr>
          <w:rFonts w:ascii="Arial" w:hAnsi="Arial" w:cs="Arial"/>
        </w:rPr>
        <w:fldChar w:fldCharType="separate"/>
      </w:r>
      <w:r w:rsidRPr="00BA0D2D">
        <w:rPr>
          <w:rFonts w:ascii="Arial" w:hAnsi="Arial" w:cs="Arial"/>
          <w:noProof/>
        </w:rPr>
        <w:t>1</w:t>
      </w:r>
      <w:r w:rsidRPr="00BA0D2D">
        <w:rPr>
          <w:rFonts w:ascii="Arial" w:hAnsi="Arial" w:cs="Arial"/>
        </w:rPr>
        <w:fldChar w:fldCharType="end"/>
      </w:r>
      <w:bookmarkEnd w:id="52"/>
      <w:r w:rsidRPr="00BA0D2D">
        <w:rPr>
          <w:rFonts w:ascii="Arial" w:hAnsi="Arial" w:cs="Arial"/>
        </w:rPr>
        <w:t>. Throughput evaluation of LA and MIMO for urban LOS scenario. Tx: 60km/h; Rx: 65km/h</w:t>
      </w:r>
      <w:bookmarkEnd w:id="53"/>
    </w:p>
    <w:p w14:paraId="4369E101" w14:textId="2945CD9C" w:rsidR="00752699" w:rsidRPr="00BA0D2D" w:rsidRDefault="00752699" w:rsidP="00752699">
      <w:pPr>
        <w:jc w:val="both"/>
        <w:rPr>
          <w:rFonts w:ascii="Arial" w:hAnsi="Arial"/>
        </w:rPr>
      </w:pPr>
      <w:r w:rsidRPr="00BA0D2D">
        <w:rPr>
          <w:rFonts w:ascii="Arial" w:hAnsi="Arial"/>
        </w:rPr>
        <w:fldChar w:fldCharType="begin"/>
      </w:r>
      <w:r w:rsidRPr="00BA0D2D">
        <w:rPr>
          <w:rFonts w:ascii="Arial" w:hAnsi="Arial"/>
        </w:rPr>
        <w:instrText xml:space="preserve"> REF _Ref534791745 \h  \* MERGEFORMAT </w:instrText>
      </w:r>
      <w:r w:rsidRPr="00BA0D2D">
        <w:rPr>
          <w:rFonts w:ascii="Arial" w:hAnsi="Arial"/>
        </w:rPr>
      </w:r>
      <w:r w:rsidRPr="00BA0D2D">
        <w:rPr>
          <w:rFonts w:ascii="Arial" w:hAnsi="Arial"/>
        </w:rPr>
        <w:fldChar w:fldCharType="separate"/>
      </w:r>
      <w:r w:rsidRPr="00BA0D2D">
        <w:rPr>
          <w:rFonts w:ascii="Arial" w:hAnsi="Arial" w:cs="Arial"/>
        </w:rPr>
        <w:t xml:space="preserve">Figure </w:t>
      </w:r>
      <w:r w:rsidRPr="00BA0D2D">
        <w:rPr>
          <w:rFonts w:ascii="Arial" w:hAnsi="Arial" w:cs="Arial"/>
          <w:noProof/>
        </w:rPr>
        <w:t>2</w:t>
      </w:r>
      <w:r w:rsidRPr="00BA0D2D">
        <w:rPr>
          <w:rFonts w:ascii="Arial" w:hAnsi="Arial"/>
        </w:rPr>
        <w:fldChar w:fldCharType="end"/>
      </w:r>
      <w:r w:rsidRPr="00BA0D2D">
        <w:rPr>
          <w:rFonts w:ascii="Arial" w:hAnsi="Arial"/>
        </w:rPr>
        <w:t xml:space="preserve"> shows performance comparison for highway LOS scenario with a Tx UE of 60km/h and a Rx UE of 180km/h. Similar observations can be made as above. More simulation results can be found in paper </w:t>
      </w:r>
      <w:r w:rsidR="0033298C" w:rsidRPr="00BA0D2D">
        <w:rPr>
          <w:rFonts w:ascii="Arial" w:hAnsi="Arial"/>
        </w:rPr>
        <w:fldChar w:fldCharType="begin"/>
      </w:r>
      <w:r w:rsidR="0033298C" w:rsidRPr="00BA0D2D">
        <w:rPr>
          <w:rFonts w:ascii="Arial" w:hAnsi="Arial"/>
        </w:rPr>
        <w:instrText xml:space="preserve"> REF _Ref1119207 \r \h </w:instrText>
      </w:r>
      <w:r w:rsidR="00BA0D2D">
        <w:rPr>
          <w:rFonts w:ascii="Arial" w:hAnsi="Arial"/>
        </w:rPr>
        <w:instrText xml:space="preserve"> \* MERGEFORMAT </w:instrText>
      </w:r>
      <w:r w:rsidR="0033298C" w:rsidRPr="00BA0D2D">
        <w:rPr>
          <w:rFonts w:ascii="Arial" w:hAnsi="Arial"/>
        </w:rPr>
      </w:r>
      <w:r w:rsidR="0033298C" w:rsidRPr="00BA0D2D">
        <w:rPr>
          <w:rFonts w:ascii="Arial" w:hAnsi="Arial"/>
        </w:rPr>
        <w:fldChar w:fldCharType="separate"/>
      </w:r>
      <w:r w:rsidR="0033298C" w:rsidRPr="00BA0D2D">
        <w:rPr>
          <w:rFonts w:ascii="Arial" w:hAnsi="Arial"/>
        </w:rPr>
        <w:t>[2]</w:t>
      </w:r>
      <w:r w:rsidR="0033298C" w:rsidRPr="00BA0D2D">
        <w:rPr>
          <w:rFonts w:ascii="Arial" w:hAnsi="Arial"/>
        </w:rPr>
        <w:fldChar w:fldCharType="end"/>
      </w:r>
      <w:r w:rsidRPr="00BA0D2D">
        <w:rPr>
          <w:rFonts w:ascii="Arial" w:hAnsi="Arial"/>
        </w:rPr>
        <w:t>.</w:t>
      </w:r>
    </w:p>
    <w:p w14:paraId="4FE9A9B8" w14:textId="77777777" w:rsidR="00752699" w:rsidRPr="00BA0D2D" w:rsidRDefault="00752699" w:rsidP="00752699">
      <w:pPr>
        <w:spacing w:before="240"/>
        <w:jc w:val="center"/>
        <w:rPr>
          <w:rFonts w:ascii="Arial" w:hAnsi="Arial" w:cs="Arial"/>
        </w:rPr>
      </w:pPr>
      <w:r w:rsidRPr="00BA0D2D">
        <w:rPr>
          <w:rFonts w:ascii="Arial" w:hAnsi="Arial"/>
          <w:noProof/>
        </w:rPr>
        <w:lastRenderedPageBreak/>
        <w:drawing>
          <wp:inline distT="0" distB="0" distL="0" distR="0" wp14:anchorId="62C218B3" wp14:editId="4B3A6949">
            <wp:extent cx="4351020" cy="31086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4518" cy="3125434"/>
                    </a:xfrm>
                    <a:prstGeom prst="rect">
                      <a:avLst/>
                    </a:prstGeom>
                    <a:noFill/>
                    <a:ln>
                      <a:noFill/>
                    </a:ln>
                  </pic:spPr>
                </pic:pic>
              </a:graphicData>
            </a:graphic>
          </wp:inline>
        </w:drawing>
      </w:r>
    </w:p>
    <w:p w14:paraId="5220E730" w14:textId="029E5824" w:rsidR="00752699" w:rsidRPr="00BA0D2D" w:rsidRDefault="00752699" w:rsidP="00752699">
      <w:pPr>
        <w:pStyle w:val="Caption"/>
        <w:rPr>
          <w:rFonts w:ascii="Arial" w:hAnsi="Arial" w:cs="Arial"/>
          <w:lang w:eastAsia="ja-JP"/>
        </w:rPr>
      </w:pPr>
      <w:bookmarkStart w:id="54" w:name="_Ref534791745"/>
      <w:r w:rsidRPr="00BA0D2D">
        <w:rPr>
          <w:rFonts w:ascii="Arial" w:hAnsi="Arial" w:cs="Arial"/>
        </w:rPr>
        <w:t xml:space="preserve">Figure </w:t>
      </w:r>
      <w:r w:rsidRPr="00BA0D2D">
        <w:rPr>
          <w:rFonts w:ascii="Arial" w:hAnsi="Arial" w:cs="Arial"/>
        </w:rPr>
        <w:fldChar w:fldCharType="begin"/>
      </w:r>
      <w:r w:rsidRPr="00BA0D2D">
        <w:rPr>
          <w:rFonts w:ascii="Arial" w:hAnsi="Arial" w:cs="Arial"/>
        </w:rPr>
        <w:instrText xml:space="preserve"> SEQ Figure \* ARABIC </w:instrText>
      </w:r>
      <w:r w:rsidRPr="00BA0D2D">
        <w:rPr>
          <w:rFonts w:ascii="Arial" w:hAnsi="Arial" w:cs="Arial"/>
        </w:rPr>
        <w:fldChar w:fldCharType="separate"/>
      </w:r>
      <w:r w:rsidRPr="00BA0D2D">
        <w:rPr>
          <w:rFonts w:ascii="Arial" w:hAnsi="Arial" w:cs="Arial"/>
          <w:noProof/>
        </w:rPr>
        <w:t>2</w:t>
      </w:r>
      <w:r w:rsidRPr="00BA0D2D">
        <w:rPr>
          <w:rFonts w:ascii="Arial" w:hAnsi="Arial" w:cs="Arial"/>
        </w:rPr>
        <w:fldChar w:fldCharType="end"/>
      </w:r>
      <w:bookmarkEnd w:id="54"/>
      <w:r w:rsidRPr="00BA0D2D">
        <w:rPr>
          <w:rFonts w:ascii="Arial" w:hAnsi="Arial" w:cs="Arial"/>
        </w:rPr>
        <w:t xml:space="preserve"> Throughput evaluation of LA and MIMO for highway LOS scenario. Tx: 60km/h; Rx: 180km/h</w:t>
      </w:r>
    </w:p>
    <w:p w14:paraId="5351F321" w14:textId="77777777" w:rsidR="00752699" w:rsidRPr="00BA0D2D" w:rsidRDefault="00752699" w:rsidP="00752699">
      <w:pPr>
        <w:jc w:val="both"/>
        <w:rPr>
          <w:rFonts w:ascii="Arial" w:hAnsi="Arial"/>
        </w:rPr>
      </w:pPr>
      <w:r w:rsidRPr="00BA0D2D">
        <w:rPr>
          <w:rFonts w:ascii="Arial" w:hAnsi="Arial"/>
        </w:rPr>
        <w:t xml:space="preserve">According to the evaluations, we see the clear performance enhancement of the </w:t>
      </w:r>
      <w:r w:rsidRPr="00BA0D2D">
        <w:rPr>
          <w:rFonts w:ascii="Arial" w:hAnsi="Arial" w:cs="Arial"/>
        </w:rPr>
        <w:t>joint CL-MIMO and LA scheme.</w:t>
      </w:r>
      <w:r w:rsidRPr="00BA0D2D">
        <w:rPr>
          <w:rFonts w:ascii="Arial" w:hAnsi="Arial"/>
        </w:rPr>
        <w:t xml:space="preserve"> Hence, CL-MIMO and LA should be supported for sidelink unicast. To enable them efficiently, RI, wideband PMI and CQI reports are needed and should be supported.</w:t>
      </w:r>
    </w:p>
    <w:p w14:paraId="09E918E6" w14:textId="77777777" w:rsidR="00752699" w:rsidRPr="00BA0D2D" w:rsidRDefault="00752699" w:rsidP="00752699">
      <w:pPr>
        <w:pStyle w:val="Observation"/>
        <w:overflowPunct/>
        <w:autoSpaceDE/>
        <w:autoSpaceDN/>
        <w:adjustRightInd/>
        <w:spacing w:line="259" w:lineRule="auto"/>
        <w:jc w:val="left"/>
        <w:textAlignment w:val="auto"/>
        <w:rPr>
          <w:rFonts w:cs="Arial"/>
        </w:rPr>
      </w:pPr>
      <w:bookmarkStart w:id="55" w:name="_Toc534994105"/>
      <w:bookmarkStart w:id="56" w:name="_Toc1039780"/>
      <w:bookmarkStart w:id="57" w:name="_Toc1120567"/>
      <w:r w:rsidRPr="00BA0D2D">
        <w:t>Using RI, wideband PMI and CQI reports, joint CL-MIMO and LA scheme provides clear throughput gain compared to open-loop RPS schemes in LOS scenarios</w:t>
      </w:r>
      <w:r w:rsidRPr="00BA0D2D">
        <w:rPr>
          <w:rFonts w:cs="Arial"/>
        </w:rPr>
        <w:t>.</w:t>
      </w:r>
      <w:bookmarkEnd w:id="55"/>
      <w:bookmarkEnd w:id="56"/>
      <w:bookmarkEnd w:id="57"/>
    </w:p>
    <w:p w14:paraId="4E6CF636" w14:textId="77777777" w:rsidR="00752699" w:rsidRPr="00BA0D2D" w:rsidRDefault="00752699" w:rsidP="00752699">
      <w:pPr>
        <w:rPr>
          <w:rFonts w:ascii="Arial" w:hAnsi="Arial"/>
        </w:rPr>
      </w:pPr>
      <w:r w:rsidRPr="00BA0D2D">
        <w:rPr>
          <w:rFonts w:ascii="Arial" w:hAnsi="Arial"/>
        </w:rPr>
        <w:t>Based on the observations above, we propose the following.</w:t>
      </w:r>
    </w:p>
    <w:p w14:paraId="452E5A78"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58" w:name="_Toc1120557"/>
      <w:bookmarkStart w:id="59" w:name="_Toc1039771"/>
      <w:r w:rsidRPr="00BA0D2D">
        <w:rPr>
          <w:rFonts w:cs="Arial"/>
        </w:rPr>
        <w:t>At least RI report, wideband PMI and CQI reports are supported for sidelink unicast</w:t>
      </w:r>
      <w:r w:rsidRPr="00BA0D2D">
        <w:t>.</w:t>
      </w:r>
      <w:bookmarkEnd w:id="58"/>
      <w:r w:rsidRPr="00BA0D2D">
        <w:t xml:space="preserve"> </w:t>
      </w:r>
      <w:bookmarkEnd w:id="59"/>
    </w:p>
    <w:p w14:paraId="1E519A2B"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60" w:name="_Toc1039772"/>
      <w:bookmarkStart w:id="61" w:name="_Toc1120558"/>
      <w:r w:rsidRPr="00BA0D2D">
        <w:t>CL-MIMO is supported for sidelink unicast.</w:t>
      </w:r>
      <w:bookmarkEnd w:id="60"/>
      <w:bookmarkEnd w:id="61"/>
      <w:r w:rsidRPr="00BA0D2D">
        <w:t xml:space="preserve"> </w:t>
      </w:r>
    </w:p>
    <w:p w14:paraId="3B941EAA"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62" w:name="_Toc1039773"/>
      <w:bookmarkStart w:id="63" w:name="_Toc1120559"/>
      <w:r w:rsidRPr="00BA0D2D">
        <w:t>Link adaption including both outer-loop and inner-loop is supported for sidelink unicast.</w:t>
      </w:r>
      <w:bookmarkEnd w:id="62"/>
      <w:bookmarkEnd w:id="63"/>
    </w:p>
    <w:p w14:paraId="2C96EB76" w14:textId="75ED9AEE" w:rsidR="00752699" w:rsidRPr="00BA0D2D" w:rsidRDefault="00752699" w:rsidP="00752699">
      <w:pPr>
        <w:jc w:val="both"/>
        <w:rPr>
          <w:rFonts w:ascii="Arial" w:hAnsi="Arial"/>
        </w:rPr>
      </w:pPr>
      <w:bookmarkStart w:id="64" w:name="_Toc966200"/>
      <w:r w:rsidRPr="00BA0D2D">
        <w:rPr>
          <w:rFonts w:ascii="Arial" w:hAnsi="Arial"/>
        </w:rPr>
        <w:t xml:space="preserve">More details on CSIT acquisition for sidelink unicast can be found in </w:t>
      </w:r>
      <w:r w:rsidR="0033298C" w:rsidRPr="00BA0D2D">
        <w:rPr>
          <w:rFonts w:ascii="Arial" w:hAnsi="Arial"/>
        </w:rPr>
        <w:fldChar w:fldCharType="begin"/>
      </w:r>
      <w:r w:rsidR="0033298C" w:rsidRPr="00BA0D2D">
        <w:rPr>
          <w:rFonts w:ascii="Arial" w:hAnsi="Arial"/>
        </w:rPr>
        <w:instrText xml:space="preserve"> REF _Ref1119224 \r \h </w:instrText>
      </w:r>
      <w:r w:rsidR="00BA0D2D">
        <w:rPr>
          <w:rFonts w:ascii="Arial" w:hAnsi="Arial"/>
        </w:rPr>
        <w:instrText xml:space="preserve"> \* MERGEFORMAT </w:instrText>
      </w:r>
      <w:r w:rsidR="0033298C" w:rsidRPr="00BA0D2D">
        <w:rPr>
          <w:rFonts w:ascii="Arial" w:hAnsi="Arial"/>
        </w:rPr>
      </w:r>
      <w:r w:rsidR="0033298C" w:rsidRPr="00BA0D2D">
        <w:rPr>
          <w:rFonts w:ascii="Arial" w:hAnsi="Arial"/>
        </w:rPr>
        <w:fldChar w:fldCharType="separate"/>
      </w:r>
      <w:r w:rsidR="0033298C" w:rsidRPr="00BA0D2D">
        <w:rPr>
          <w:rFonts w:ascii="Arial" w:hAnsi="Arial"/>
        </w:rPr>
        <w:t>[3]</w:t>
      </w:r>
      <w:r w:rsidR="0033298C" w:rsidRPr="00BA0D2D">
        <w:rPr>
          <w:rFonts w:ascii="Arial" w:hAnsi="Arial"/>
        </w:rPr>
        <w:fldChar w:fldCharType="end"/>
      </w:r>
      <w:r w:rsidR="0033298C" w:rsidRPr="00BA0D2D">
        <w:rPr>
          <w:rFonts w:ascii="Arial" w:hAnsi="Arial"/>
        </w:rPr>
        <w:t>,</w:t>
      </w:r>
      <w:bookmarkStart w:id="65" w:name="_Toc528811194"/>
      <w:bookmarkStart w:id="66" w:name="_Toc528812649"/>
      <w:r w:rsidRPr="00BA0D2D">
        <w:rPr>
          <w:rFonts w:ascii="Arial" w:hAnsi="Arial"/>
        </w:rPr>
        <w:t xml:space="preserve"> where we discuss sidelink CSI report and its scheduling, physical channel to carry CSI report, periodic and aperiodic SCSI-RS, etc.</w:t>
      </w:r>
      <w:bookmarkEnd w:id="64"/>
      <w:bookmarkEnd w:id="65"/>
      <w:bookmarkEnd w:id="66"/>
      <w:r w:rsidRPr="00BA0D2D">
        <w:rPr>
          <w:rFonts w:ascii="Arial" w:hAnsi="Arial"/>
        </w:rPr>
        <w:t xml:space="preserve"> </w:t>
      </w:r>
    </w:p>
    <w:p w14:paraId="02ADF992" w14:textId="77177DA7" w:rsidR="00752699" w:rsidRPr="00BA0D2D" w:rsidRDefault="00752699" w:rsidP="00752699">
      <w:pPr>
        <w:pStyle w:val="Heading1"/>
      </w:pPr>
      <w:r w:rsidRPr="00BA0D2D">
        <w:t>6</w:t>
      </w:r>
      <w:r w:rsidRPr="00BA0D2D">
        <w:tab/>
        <w:t>Power control</w:t>
      </w:r>
    </w:p>
    <w:p w14:paraId="64B7EE09" w14:textId="77777777" w:rsidR="00752699" w:rsidRPr="00BA0D2D" w:rsidRDefault="00752699" w:rsidP="00752699">
      <w:pPr>
        <w:rPr>
          <w:rFonts w:ascii="Arial" w:hAnsi="Arial"/>
        </w:rPr>
      </w:pPr>
      <w:r w:rsidRPr="00BA0D2D">
        <w:rPr>
          <w:rFonts w:ascii="Arial" w:hAnsi="Arial"/>
        </w:rPr>
        <w:t>In RAN#ah-1901, the following agreements were made.</w:t>
      </w:r>
    </w:p>
    <w:tbl>
      <w:tblPr>
        <w:tblStyle w:val="TableGrid1"/>
        <w:tblW w:w="0" w:type="auto"/>
        <w:tblLook w:val="04A0" w:firstRow="1" w:lastRow="0" w:firstColumn="1" w:lastColumn="0" w:noHBand="0" w:noVBand="1"/>
      </w:tblPr>
      <w:tblGrid>
        <w:gridCol w:w="9629"/>
      </w:tblGrid>
      <w:tr w:rsidR="00752699" w:rsidRPr="00BA0D2D" w14:paraId="11D40BE6" w14:textId="77777777" w:rsidTr="00F804BB">
        <w:tc>
          <w:tcPr>
            <w:tcW w:w="9629" w:type="dxa"/>
          </w:tcPr>
          <w:p w14:paraId="7F33CAE6" w14:textId="77777777" w:rsidR="00752699" w:rsidRPr="00BA0D2D" w:rsidRDefault="00752699" w:rsidP="00F804BB">
            <w:pPr>
              <w:spacing w:after="120"/>
              <w:rPr>
                <w:rFonts w:ascii="Arial" w:hAnsi="Arial" w:cs="Arial"/>
                <w:sz w:val="20"/>
                <w:szCs w:val="20"/>
              </w:rPr>
            </w:pPr>
            <w:r w:rsidRPr="00072733">
              <w:rPr>
                <w:rFonts w:ascii="Arial" w:hAnsi="Arial" w:cs="Arial"/>
                <w:sz w:val="20"/>
                <w:szCs w:val="20"/>
                <w:highlight w:val="green"/>
              </w:rPr>
              <w:t>Agreements:</w:t>
            </w:r>
          </w:p>
          <w:p w14:paraId="00FBCE86" w14:textId="77777777" w:rsidR="00752699" w:rsidRPr="00BA0D2D" w:rsidRDefault="00752699" w:rsidP="00752699">
            <w:pPr>
              <w:pStyle w:val="ListParagraph"/>
              <w:numPr>
                <w:ilvl w:val="0"/>
                <w:numId w:val="25"/>
              </w:numPr>
              <w:overflowPunct/>
              <w:autoSpaceDE/>
              <w:autoSpaceDN/>
              <w:adjustRightInd/>
              <w:spacing w:after="160" w:line="259" w:lineRule="auto"/>
              <w:contextualSpacing/>
              <w:textAlignment w:val="auto"/>
              <w:rPr>
                <w:rFonts w:ascii="Arial" w:eastAsia="Batang" w:hAnsi="Arial" w:cs="Arial"/>
                <w:kern w:val="2"/>
                <w:sz w:val="20"/>
                <w:szCs w:val="20"/>
                <w:lang w:eastAsia="ko-KR"/>
              </w:rPr>
            </w:pPr>
            <w:r w:rsidRPr="00BA0D2D">
              <w:rPr>
                <w:rFonts w:ascii="Arial" w:eastAsia="Batang" w:hAnsi="Arial" w:cs="Arial"/>
                <w:kern w:val="2"/>
                <w:sz w:val="20"/>
                <w:szCs w:val="20"/>
                <w:lang w:eastAsia="ko-KR"/>
              </w:rPr>
              <w:t xml:space="preserve">SL open-loop power control is supported. </w:t>
            </w:r>
          </w:p>
          <w:p w14:paraId="572E8C9F" w14:textId="77777777" w:rsidR="00752699" w:rsidRPr="00BA0D2D" w:rsidRDefault="00752699" w:rsidP="00752699">
            <w:pPr>
              <w:pStyle w:val="LGTdoc"/>
              <w:numPr>
                <w:ilvl w:val="1"/>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 xml:space="preserve">For unicast, groupcast, broadcast, it is supported that the open-loop power control is based on the pathloss between TX UE and </w:t>
            </w:r>
            <w:proofErr w:type="spellStart"/>
            <w:r w:rsidRPr="00BA0D2D">
              <w:rPr>
                <w:rFonts w:ascii="Arial" w:hAnsi="Arial" w:cs="Arial"/>
                <w:sz w:val="20"/>
                <w:szCs w:val="20"/>
                <w:lang w:eastAsia="en-US"/>
              </w:rPr>
              <w:t>gNB</w:t>
            </w:r>
            <w:proofErr w:type="spellEnd"/>
            <w:r w:rsidRPr="00BA0D2D">
              <w:rPr>
                <w:rFonts w:ascii="Arial" w:hAnsi="Arial" w:cs="Arial"/>
                <w:sz w:val="20"/>
                <w:szCs w:val="20"/>
                <w:lang w:eastAsia="en-US"/>
              </w:rPr>
              <w:t xml:space="preserve"> (if TX UE is in-coverage).</w:t>
            </w:r>
          </w:p>
          <w:p w14:paraId="2FD59478" w14:textId="77777777" w:rsidR="00752699" w:rsidRPr="00BA0D2D" w:rsidRDefault="00752699" w:rsidP="00752699">
            <w:pPr>
              <w:pStyle w:val="LGTdoc"/>
              <w:numPr>
                <w:ilvl w:val="2"/>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 xml:space="preserve">This is at least to mitigate interference to UL reception at </w:t>
            </w:r>
            <w:proofErr w:type="spellStart"/>
            <w:r w:rsidRPr="00BA0D2D">
              <w:rPr>
                <w:rFonts w:ascii="Arial" w:hAnsi="Arial" w:cs="Arial"/>
                <w:sz w:val="20"/>
                <w:szCs w:val="20"/>
                <w:lang w:eastAsia="en-US"/>
              </w:rPr>
              <w:t>gNB</w:t>
            </w:r>
            <w:proofErr w:type="spellEnd"/>
            <w:r w:rsidRPr="00BA0D2D">
              <w:rPr>
                <w:rFonts w:ascii="Arial" w:hAnsi="Arial" w:cs="Arial"/>
                <w:sz w:val="20"/>
                <w:szCs w:val="20"/>
                <w:lang w:eastAsia="en-US"/>
              </w:rPr>
              <w:t>.</w:t>
            </w:r>
          </w:p>
          <w:p w14:paraId="2FAD8355" w14:textId="77777777" w:rsidR="00752699" w:rsidRPr="00BA0D2D" w:rsidRDefault="00752699" w:rsidP="00752699">
            <w:pPr>
              <w:pStyle w:val="LGTdoc"/>
              <w:numPr>
                <w:ilvl w:val="2"/>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Rel-14 LTE sidelink open-loop power control is the baseline.</w:t>
            </w:r>
          </w:p>
          <w:p w14:paraId="2E940F26" w14:textId="77777777" w:rsidR="00752699" w:rsidRPr="00BA0D2D" w:rsidRDefault="00752699" w:rsidP="00752699">
            <w:pPr>
              <w:pStyle w:val="LGTdoc"/>
              <w:numPr>
                <w:ilvl w:val="2"/>
                <w:numId w:val="25"/>
              </w:numPr>
              <w:autoSpaceDE w:val="0"/>
              <w:autoSpaceDN w:val="0"/>
              <w:adjustRightInd w:val="0"/>
              <w:spacing w:before="100" w:beforeAutospacing="1" w:after="120"/>
              <w:rPr>
                <w:rFonts w:ascii="Arial" w:hAnsi="Arial" w:cs="Arial"/>
                <w:sz w:val="20"/>
                <w:szCs w:val="20"/>
                <w:lang w:eastAsia="en-US"/>
              </w:rPr>
            </w:pPr>
            <w:proofErr w:type="spellStart"/>
            <w:r w:rsidRPr="00BA0D2D">
              <w:rPr>
                <w:rFonts w:ascii="Arial" w:hAnsi="Arial" w:cs="Arial"/>
                <w:sz w:val="20"/>
                <w:szCs w:val="20"/>
                <w:lang w:eastAsia="en-US"/>
              </w:rPr>
              <w:t>gNB</w:t>
            </w:r>
            <w:proofErr w:type="spellEnd"/>
            <w:r w:rsidRPr="00BA0D2D">
              <w:rPr>
                <w:rFonts w:ascii="Arial" w:hAnsi="Arial" w:cs="Arial"/>
                <w:sz w:val="20"/>
                <w:szCs w:val="20"/>
                <w:lang w:eastAsia="en-US"/>
              </w:rPr>
              <w:t xml:space="preserve"> should be able to enable/disable this power control.</w:t>
            </w:r>
          </w:p>
          <w:p w14:paraId="0115F249" w14:textId="77777777" w:rsidR="00752699" w:rsidRPr="00BA0D2D" w:rsidRDefault="00752699" w:rsidP="00752699">
            <w:pPr>
              <w:pStyle w:val="LGTdoc"/>
              <w:numPr>
                <w:ilvl w:val="1"/>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 xml:space="preserve">At least for unicast, it is supported that the open-loop power control is also based on the </w:t>
            </w:r>
            <w:r w:rsidRPr="00BA0D2D">
              <w:rPr>
                <w:rFonts w:ascii="Arial" w:hAnsi="Arial" w:cs="Arial"/>
                <w:sz w:val="20"/>
                <w:szCs w:val="20"/>
                <w:lang w:eastAsia="en-US"/>
              </w:rPr>
              <w:lastRenderedPageBreak/>
              <w:t>pathloss between TX UE and RX UE.</w:t>
            </w:r>
          </w:p>
          <w:p w14:paraId="41FC86F4" w14:textId="77777777" w:rsidR="00752699" w:rsidRPr="00BA0D2D" w:rsidRDefault="00752699" w:rsidP="00752699">
            <w:pPr>
              <w:pStyle w:val="LGTdoc"/>
              <w:numPr>
                <w:ilvl w:val="2"/>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(Pre-)configuration should be able to enable/disable this power control.</w:t>
            </w:r>
          </w:p>
          <w:p w14:paraId="0FD20D78" w14:textId="77777777" w:rsidR="00752699" w:rsidRPr="00BA0D2D" w:rsidRDefault="00752699" w:rsidP="00752699">
            <w:pPr>
              <w:pStyle w:val="LGTdoc"/>
              <w:numPr>
                <w:ilvl w:val="2"/>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FFS whether this is applicable to groupcast</w:t>
            </w:r>
          </w:p>
          <w:p w14:paraId="085B76D6" w14:textId="77777777" w:rsidR="00752699" w:rsidRPr="00BA0D2D" w:rsidRDefault="00752699" w:rsidP="00752699">
            <w:pPr>
              <w:pStyle w:val="LGTdoc"/>
              <w:numPr>
                <w:ilvl w:val="2"/>
                <w:numId w:val="25"/>
              </w:numPr>
              <w:autoSpaceDE w:val="0"/>
              <w:autoSpaceDN w:val="0"/>
              <w:adjustRightInd w:val="0"/>
              <w:spacing w:before="100" w:beforeAutospacing="1" w:after="120"/>
              <w:rPr>
                <w:rFonts w:ascii="Arial" w:hAnsi="Arial" w:cs="Arial"/>
                <w:sz w:val="20"/>
                <w:szCs w:val="20"/>
                <w:lang w:eastAsia="en-US"/>
              </w:rPr>
            </w:pPr>
            <w:r w:rsidRPr="00BA0D2D">
              <w:rPr>
                <w:rFonts w:ascii="Arial" w:hAnsi="Arial" w:cs="Arial"/>
                <w:sz w:val="20"/>
                <w:szCs w:val="20"/>
                <w:lang w:eastAsia="en-US"/>
              </w:rPr>
              <w:t>FFS whether this requires information signaling in the sidelink.</w:t>
            </w:r>
          </w:p>
          <w:p w14:paraId="37EA92BC" w14:textId="77777777" w:rsidR="00752699" w:rsidRPr="00BA0D2D" w:rsidRDefault="00752699" w:rsidP="00752699">
            <w:pPr>
              <w:pStyle w:val="LGTdoc"/>
              <w:numPr>
                <w:ilvl w:val="1"/>
                <w:numId w:val="25"/>
              </w:numPr>
              <w:autoSpaceDE w:val="0"/>
              <w:autoSpaceDN w:val="0"/>
              <w:adjustRightInd w:val="0"/>
              <w:spacing w:before="100" w:beforeAutospacing="1" w:after="120"/>
              <w:rPr>
                <w:rFonts w:ascii="Arial" w:hAnsi="Arial" w:cs="Arial"/>
                <w:sz w:val="20"/>
                <w:szCs w:val="20"/>
              </w:rPr>
            </w:pPr>
            <w:r w:rsidRPr="00BA0D2D">
              <w:rPr>
                <w:rFonts w:ascii="Arial" w:hAnsi="Arial" w:cs="Arial"/>
                <w:sz w:val="20"/>
                <w:szCs w:val="20"/>
              </w:rPr>
              <w:t>Further study its potential impact, e.g., on resource allocation.</w:t>
            </w:r>
          </w:p>
          <w:p w14:paraId="3D0C0978" w14:textId="77777777" w:rsidR="00752699" w:rsidRPr="00BA0D2D" w:rsidRDefault="00752699" w:rsidP="00752699">
            <w:pPr>
              <w:pStyle w:val="LGTdoc"/>
              <w:numPr>
                <w:ilvl w:val="0"/>
                <w:numId w:val="25"/>
              </w:numPr>
              <w:autoSpaceDE w:val="0"/>
              <w:autoSpaceDN w:val="0"/>
              <w:adjustRightInd w:val="0"/>
              <w:spacing w:before="100" w:beforeAutospacing="1" w:after="120"/>
              <w:rPr>
                <w:rFonts w:ascii="Times" w:hAnsi="Times" w:cs="Times"/>
                <w:sz w:val="20"/>
                <w:szCs w:val="20"/>
              </w:rPr>
            </w:pPr>
            <w:r w:rsidRPr="00BA0D2D">
              <w:rPr>
                <w:rFonts w:ascii="Arial" w:hAnsi="Arial" w:cs="Arial"/>
                <w:sz w:val="20"/>
                <w:szCs w:val="20"/>
              </w:rPr>
              <w:t>FFS whether closed-loop power control is additionally needed</w:t>
            </w:r>
          </w:p>
        </w:tc>
      </w:tr>
    </w:tbl>
    <w:p w14:paraId="0ED93F17" w14:textId="77777777" w:rsidR="00752699" w:rsidRPr="00BA0D2D" w:rsidRDefault="00752699" w:rsidP="00752699">
      <w:pPr>
        <w:ind w:left="1440"/>
      </w:pPr>
    </w:p>
    <w:p w14:paraId="3F56023D" w14:textId="77777777" w:rsidR="00752699" w:rsidRPr="00BA0D2D" w:rsidRDefault="00752699" w:rsidP="00752699">
      <w:pPr>
        <w:jc w:val="both"/>
        <w:rPr>
          <w:rFonts w:ascii="Arial" w:hAnsi="Arial"/>
        </w:rPr>
      </w:pPr>
      <w:r w:rsidRPr="00BA0D2D">
        <w:rPr>
          <w:rFonts w:ascii="Arial" w:hAnsi="Arial"/>
        </w:rPr>
        <w:t xml:space="preserve">In our view the transmit power control mechanism should be of low complexity and preferably should not require a fine granularity channel information, but rely on coarse and slow changing information, such as large-scale fading parameters and/or estimated path loss. Also, from an implementation perspective, it is advantageous if the transmit power control mechanism does not mandate fast power control for SL transmissions.  Since the main objective of power control includes compensating for path loss and possibly shadowing (large scale fading) while limiting interference, open loop power control can serve the objective. The closed-loop power control typically relies on explicit feedback </w:t>
      </w:r>
      <w:proofErr w:type="spellStart"/>
      <w:r w:rsidRPr="00BA0D2D">
        <w:rPr>
          <w:rFonts w:ascii="Arial" w:hAnsi="Arial"/>
        </w:rPr>
        <w:t>signaling</w:t>
      </w:r>
      <w:proofErr w:type="spellEnd"/>
      <w:r w:rsidRPr="00BA0D2D">
        <w:rPr>
          <w:rFonts w:ascii="Arial" w:hAnsi="Arial"/>
        </w:rPr>
        <w:t xml:space="preserve"> from Rx UE to Tx UE to set the transmission power which incurs an additional overhead. Also, the open loop scheme does not imply control of one UE over the transmission scheme of another UE. </w:t>
      </w:r>
    </w:p>
    <w:p w14:paraId="61A0B06E"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67" w:name="_Toc1039774"/>
      <w:bookmarkStart w:id="68" w:name="_Toc1120560"/>
      <w:bookmarkStart w:id="69" w:name="_Hlk796064"/>
      <w:r w:rsidRPr="00BA0D2D">
        <w:t>Closed-loop power control is not supported for NR V2X.</w:t>
      </w:r>
      <w:bookmarkEnd w:id="67"/>
      <w:bookmarkEnd w:id="68"/>
      <w:r w:rsidRPr="00BA0D2D">
        <w:t xml:space="preserve"> </w:t>
      </w:r>
    </w:p>
    <w:p w14:paraId="6C9D56BB" w14:textId="77777777" w:rsidR="00752699" w:rsidRPr="00BA0D2D" w:rsidRDefault="00752699" w:rsidP="00752699">
      <w:pPr>
        <w:rPr>
          <w:rFonts w:ascii="Arial" w:hAnsi="Arial"/>
        </w:rPr>
      </w:pPr>
      <w:r w:rsidRPr="00BA0D2D">
        <w:rPr>
          <w:rFonts w:ascii="Arial" w:hAnsi="Arial"/>
        </w:rPr>
        <w:t>In case of unicast transmissions - for the Tx UE to maintain a predefined SNR level at the intended Rx UE, the Tx UE must know the SNR target and estimate the current path loss towards the intended Rx UE. A mechanism that enables the Tx UE to acquire these inputs is illustrated in Figure 3. According to this mechanism:</w:t>
      </w:r>
    </w:p>
    <w:p w14:paraId="068841E5" w14:textId="10785124" w:rsidR="00746545" w:rsidRPr="00BA0D2D" w:rsidRDefault="00746545" w:rsidP="00746545">
      <w:pPr>
        <w:pStyle w:val="ListParagraph"/>
        <w:numPr>
          <w:ilvl w:val="0"/>
          <w:numId w:val="38"/>
        </w:numPr>
        <w:overflowPunct/>
        <w:autoSpaceDE/>
        <w:autoSpaceDN/>
        <w:adjustRightInd/>
        <w:spacing w:after="160" w:line="259" w:lineRule="auto"/>
        <w:contextualSpacing/>
        <w:jc w:val="both"/>
        <w:textAlignment w:val="auto"/>
        <w:rPr>
          <w:rFonts w:ascii="Arial" w:hAnsi="Arial" w:cs="Arial"/>
          <w:sz w:val="20"/>
          <w:szCs w:val="20"/>
        </w:rPr>
      </w:pPr>
      <w:r w:rsidRPr="00BA0D2D">
        <w:rPr>
          <w:rFonts w:ascii="Arial" w:hAnsi="Arial" w:cs="Arial"/>
          <w:sz w:val="20"/>
          <w:szCs w:val="20"/>
        </w:rPr>
        <w:t>The Tx UE is (pre-)configured for a predefined SNR value that is specifically set for SL unicast communications. This can be achieved by appropriate network control mechanism whose details are for further study. It is to be noted that maximum or fixed transmit power can also be (pre-)configured to a UE.</w:t>
      </w:r>
    </w:p>
    <w:p w14:paraId="474A3CA5" w14:textId="45AB6987" w:rsidR="00746545" w:rsidRPr="00BA0D2D" w:rsidRDefault="00746545" w:rsidP="004F0606">
      <w:pPr>
        <w:pStyle w:val="ListParagraph"/>
        <w:numPr>
          <w:ilvl w:val="0"/>
          <w:numId w:val="38"/>
        </w:numPr>
        <w:overflowPunct/>
        <w:autoSpaceDE/>
        <w:autoSpaceDN/>
        <w:adjustRightInd/>
        <w:spacing w:after="240" w:line="259" w:lineRule="auto"/>
        <w:contextualSpacing/>
        <w:jc w:val="both"/>
        <w:textAlignment w:val="auto"/>
        <w:rPr>
          <w:rFonts w:ascii="Arial" w:hAnsi="Arial" w:cs="Arial"/>
          <w:sz w:val="20"/>
          <w:szCs w:val="20"/>
        </w:rPr>
      </w:pPr>
      <w:r w:rsidRPr="00BA0D2D">
        <w:rPr>
          <w:rFonts w:ascii="Arial" w:hAnsi="Arial" w:cs="Arial"/>
          <w:sz w:val="20"/>
          <w:szCs w:val="20"/>
        </w:rPr>
        <w:t>The Tx UE periodically estimates the path loss towards its intended Rx UE. This can be achieved by measuring the received power level of the SCSI-RS signals transmitted by the Rx UE, provided that the transmit power level of the SCSI-RS signals is known by the Tx UE</w:t>
      </w:r>
      <w:r w:rsidRPr="00BA0D2D">
        <w:rPr>
          <w:rFonts w:ascii="Arial" w:hAnsi="Arial" w:cs="Arial"/>
          <w:sz w:val="20"/>
          <w:szCs w:val="20"/>
          <w:lang w:val="en-US"/>
        </w:rPr>
        <w:t>.</w:t>
      </w:r>
    </w:p>
    <w:bookmarkEnd w:id="69"/>
    <w:p w14:paraId="611D8E81" w14:textId="77777777" w:rsidR="00752699" w:rsidRPr="00BA0D2D" w:rsidRDefault="00752699" w:rsidP="00752699">
      <w:pPr>
        <w:jc w:val="center"/>
      </w:pPr>
      <w:r w:rsidRPr="00BA0D2D">
        <w:rPr>
          <w:b/>
          <w:strike/>
          <w:noProof/>
        </w:rPr>
        <w:drawing>
          <wp:inline distT="0" distB="0" distL="0" distR="0" wp14:anchorId="3A09655F" wp14:editId="1582C33C">
            <wp:extent cx="2341271" cy="1976054"/>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2801" cy="1977345"/>
                    </a:xfrm>
                    <a:prstGeom prst="rect">
                      <a:avLst/>
                    </a:prstGeom>
                    <a:noFill/>
                    <a:ln>
                      <a:noFill/>
                    </a:ln>
                  </pic:spPr>
                </pic:pic>
              </a:graphicData>
            </a:graphic>
          </wp:inline>
        </w:drawing>
      </w:r>
    </w:p>
    <w:p w14:paraId="45F0C753" w14:textId="77777777" w:rsidR="00752699" w:rsidRPr="00BA0D2D" w:rsidRDefault="00752699" w:rsidP="00752699">
      <w:pPr>
        <w:pStyle w:val="Caption"/>
        <w:jc w:val="center"/>
      </w:pPr>
      <w:r w:rsidRPr="00BA0D2D">
        <w:t>Figure 3: Open loop PC over the SL for unicast transmissions.</w:t>
      </w:r>
    </w:p>
    <w:p w14:paraId="411B9A89" w14:textId="77777777" w:rsidR="00752699" w:rsidRPr="00BA0D2D" w:rsidRDefault="00752699" w:rsidP="00752699">
      <w:pPr>
        <w:rPr>
          <w:rFonts w:ascii="Arial" w:hAnsi="Arial"/>
        </w:rPr>
      </w:pPr>
      <w:r w:rsidRPr="00BA0D2D">
        <w:rPr>
          <w:rFonts w:ascii="Arial" w:hAnsi="Arial"/>
        </w:rPr>
        <w:t xml:space="preserve">Furthermore, besides receiving SCSI-RS from RX UE for open-loop PC, it may also possible that Tx UE make use of SL CSI reports (if agreed) to implicitly determined the SINR at the Rx UE. </w:t>
      </w:r>
    </w:p>
    <w:p w14:paraId="5B045C60" w14:textId="77777777" w:rsidR="00752699" w:rsidRPr="00BA0D2D" w:rsidRDefault="00752699" w:rsidP="00D817ED">
      <w:pPr>
        <w:pStyle w:val="Proposal"/>
        <w:tabs>
          <w:tab w:val="num" w:pos="1304"/>
        </w:tabs>
        <w:overflowPunct/>
        <w:autoSpaceDE/>
        <w:autoSpaceDN/>
        <w:adjustRightInd/>
        <w:spacing w:line="259" w:lineRule="auto"/>
        <w:ind w:left="1304" w:hanging="1304"/>
        <w:textAlignment w:val="auto"/>
      </w:pPr>
      <w:bookmarkStart w:id="70" w:name="_Toc528950868"/>
      <w:bookmarkStart w:id="71" w:name="_Toc1039775"/>
      <w:bookmarkStart w:id="72" w:name="_Toc1120561"/>
      <w:r w:rsidRPr="00BA0D2D">
        <w:t>Open loop SL power control, if (pre-)configured by the network, makes use of CSIT acquisition framework i.e. by measuring RSRP at TX UE or by receiving RSRP report from RX UE.</w:t>
      </w:r>
      <w:bookmarkEnd w:id="70"/>
      <w:bookmarkEnd w:id="71"/>
      <w:bookmarkEnd w:id="72"/>
    </w:p>
    <w:p w14:paraId="5158AA36" w14:textId="77777777" w:rsidR="00752699" w:rsidRPr="00BA0D2D" w:rsidRDefault="00752699" w:rsidP="00752699">
      <w:pPr>
        <w:jc w:val="both"/>
        <w:rPr>
          <w:rFonts w:ascii="Arial" w:hAnsi="Arial"/>
        </w:rPr>
      </w:pPr>
      <w:r w:rsidRPr="00BA0D2D">
        <w:rPr>
          <w:rFonts w:ascii="Arial" w:hAnsi="Arial"/>
        </w:rPr>
        <w:lastRenderedPageBreak/>
        <w:t xml:space="preserve">In case of groupcast transmissions, a possible objective of power control is to maximize the number of intended RX UEs that can successfully decode the message without transmitting with full power as this could lead to unnecessary interference. We propose open loop power control for groupcast based on the distance of Rx UEs in the group from Tx UE in which the transmission power is set such that the “furthest” Rx UE is capable of successfully decoding the message while minimizing interference and maximizing energy efficiency. </w:t>
      </w:r>
    </w:p>
    <w:p w14:paraId="5186C391" w14:textId="77777777" w:rsidR="00752699" w:rsidRPr="00BA0D2D" w:rsidRDefault="00752699" w:rsidP="00752699">
      <w:pPr>
        <w:pStyle w:val="Proposal"/>
        <w:tabs>
          <w:tab w:val="num" w:pos="1304"/>
        </w:tabs>
        <w:overflowPunct/>
        <w:autoSpaceDE/>
        <w:autoSpaceDN/>
        <w:adjustRightInd/>
        <w:spacing w:line="259" w:lineRule="auto"/>
        <w:ind w:left="1304" w:hanging="1304"/>
        <w:jc w:val="left"/>
        <w:textAlignment w:val="auto"/>
      </w:pPr>
      <w:bookmarkStart w:id="73" w:name="_Toc1039776"/>
      <w:bookmarkStart w:id="74" w:name="_Toc1120562"/>
      <w:r w:rsidRPr="00BA0D2D">
        <w:t>Open loop SL power control for groupcast is based on the communication range requirement.</w:t>
      </w:r>
      <w:bookmarkEnd w:id="73"/>
      <w:bookmarkEnd w:id="74"/>
      <w:r w:rsidRPr="00BA0D2D">
        <w:t xml:space="preserve"> </w:t>
      </w:r>
    </w:p>
    <w:p w14:paraId="5300F849" w14:textId="4DEA5596" w:rsidR="00C01F33" w:rsidRPr="00BA0D2D" w:rsidRDefault="000251C3" w:rsidP="00CE0424">
      <w:pPr>
        <w:pStyle w:val="Heading1"/>
      </w:pPr>
      <w:r>
        <w:rPr>
          <w:lang/>
        </w:rPr>
        <w:t>7</w:t>
      </w:r>
      <w:r>
        <w:rPr>
          <w:lang/>
        </w:rPr>
        <w:tab/>
      </w:r>
      <w:r w:rsidR="00C01F33" w:rsidRPr="00BA0D2D">
        <w:t>Conclusion</w:t>
      </w:r>
    </w:p>
    <w:p w14:paraId="6741DDDC" w14:textId="77777777" w:rsidR="008E065E" w:rsidRPr="00BA0D2D" w:rsidRDefault="008E065E" w:rsidP="008E065E">
      <w:pPr>
        <w:pStyle w:val="BodyText"/>
        <w:rPr>
          <w:b/>
          <w:bCs/>
        </w:rPr>
      </w:pPr>
      <w:r w:rsidRPr="00BA0D2D">
        <w:t xml:space="preserve">In </w:t>
      </w:r>
      <w:r w:rsidR="007729A2" w:rsidRPr="00BA0D2D">
        <w:t xml:space="preserve">the previous </w:t>
      </w:r>
      <w:r w:rsidRPr="00BA0D2D">
        <w:t>section</w:t>
      </w:r>
      <w:r w:rsidR="007729A2" w:rsidRPr="00BA0D2D">
        <w:t>s</w:t>
      </w:r>
      <w:r w:rsidRPr="00BA0D2D">
        <w:t xml:space="preserve"> we made the following observations:</w:t>
      </w:r>
      <w:r w:rsidR="00C93814" w:rsidRPr="00BA0D2D">
        <w:rPr>
          <w:b/>
          <w:bCs/>
        </w:rPr>
        <w:t xml:space="preserve"> </w:t>
      </w:r>
    </w:p>
    <w:p w14:paraId="703C15E8" w14:textId="1F155C5E" w:rsidR="00BA0D2D" w:rsidRPr="00BA0D2D" w:rsidRDefault="006F6582">
      <w:pPr>
        <w:pStyle w:val="TableofFigures"/>
        <w:tabs>
          <w:tab w:val="right" w:leader="dot" w:pos="9629"/>
        </w:tabs>
        <w:rPr>
          <w:rFonts w:asciiTheme="minorHAnsi" w:eastAsiaTheme="minorEastAsia" w:hAnsiTheme="minorHAnsi" w:cstheme="minorBidi"/>
          <w:b w:val="0"/>
          <w:noProof/>
          <w:sz w:val="22"/>
          <w:szCs w:val="22"/>
        </w:rPr>
      </w:pPr>
      <w:r w:rsidRPr="00BA0D2D">
        <w:rPr>
          <w:b w:val="0"/>
          <w:bCs/>
        </w:rPr>
        <w:fldChar w:fldCharType="begin"/>
      </w:r>
      <w:r w:rsidRPr="00BA0D2D">
        <w:rPr>
          <w:b w:val="0"/>
          <w:bCs/>
        </w:rPr>
        <w:instrText xml:space="preserve"> TOC \f O \n \h \z \t "Observation" \c </w:instrText>
      </w:r>
      <w:r w:rsidRPr="00BA0D2D">
        <w:rPr>
          <w:b w:val="0"/>
          <w:bCs/>
        </w:rPr>
        <w:fldChar w:fldCharType="separate"/>
      </w:r>
      <w:hyperlink w:anchor="_Toc1120563" w:history="1">
        <w:r w:rsidR="00BA0D2D" w:rsidRPr="00BA0D2D">
          <w:rPr>
            <w:rStyle w:val="Hyperlink"/>
            <w:noProof/>
          </w:rPr>
          <w:t>Observation 1</w:t>
        </w:r>
        <w:r w:rsidR="00BA0D2D" w:rsidRPr="00BA0D2D">
          <w:rPr>
            <w:rFonts w:asciiTheme="minorHAnsi" w:eastAsiaTheme="minorEastAsia" w:hAnsiTheme="minorHAnsi" w:cstheme="minorBidi"/>
            <w:b w:val="0"/>
            <w:noProof/>
            <w:sz w:val="22"/>
            <w:szCs w:val="22"/>
          </w:rPr>
          <w:tab/>
        </w:r>
        <w:r w:rsidR="00BA0D2D" w:rsidRPr="00BA0D2D">
          <w:rPr>
            <w:rStyle w:val="Hyperlink"/>
            <w:noProof/>
          </w:rPr>
          <w:t>The mapping of Layer-1 IDs and corresponding service is done by higher layer during the discovery or connection establishment phase for unicast and groupcast.</w:t>
        </w:r>
      </w:hyperlink>
    </w:p>
    <w:p w14:paraId="4C214E1B" w14:textId="3F69C128"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4" w:history="1">
        <w:r w:rsidR="00BA0D2D" w:rsidRPr="00BA0D2D">
          <w:rPr>
            <w:rStyle w:val="Hyperlink"/>
            <w:rFonts w:eastAsia="Calibri" w:cs="Arial"/>
            <w:noProof/>
            <w:lang w:eastAsia="en-GB"/>
          </w:rPr>
          <w:t>Observation 2</w:t>
        </w:r>
        <w:r w:rsidR="00BA0D2D" w:rsidRPr="00BA0D2D">
          <w:rPr>
            <w:rFonts w:asciiTheme="minorHAnsi" w:eastAsiaTheme="minorEastAsia" w:hAnsiTheme="minorHAnsi" w:cstheme="minorBidi"/>
            <w:b w:val="0"/>
            <w:noProof/>
            <w:sz w:val="22"/>
            <w:szCs w:val="22"/>
          </w:rPr>
          <w:tab/>
        </w:r>
        <w:r w:rsidR="00BA0D2D" w:rsidRPr="00BA0D2D">
          <w:rPr>
            <w:rStyle w:val="Hyperlink"/>
            <w:noProof/>
          </w:rPr>
          <w:t>For HARQ Option 1 (groupcast) it is necessary to restrict the transmission of HARQ feedback.</w:t>
        </w:r>
      </w:hyperlink>
    </w:p>
    <w:p w14:paraId="34BE4025" w14:textId="1B6079FA"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5" w:history="1">
        <w:r w:rsidR="00BA0D2D" w:rsidRPr="00BA0D2D">
          <w:rPr>
            <w:rStyle w:val="Hyperlink"/>
            <w:rFonts w:eastAsia="Calibri" w:cs="Arial"/>
            <w:noProof/>
            <w:lang w:eastAsia="en-GB"/>
          </w:rPr>
          <w:t>Observation 3</w:t>
        </w:r>
        <w:r w:rsidR="00BA0D2D" w:rsidRPr="00BA0D2D">
          <w:rPr>
            <w:rFonts w:asciiTheme="minorHAnsi" w:eastAsiaTheme="minorEastAsia" w:hAnsiTheme="minorHAnsi" w:cstheme="minorBidi"/>
            <w:b w:val="0"/>
            <w:noProof/>
            <w:sz w:val="22"/>
            <w:szCs w:val="22"/>
          </w:rPr>
          <w:tab/>
        </w:r>
        <w:r w:rsidR="00BA0D2D" w:rsidRPr="00BA0D2D">
          <w:rPr>
            <w:rStyle w:val="Hyperlink"/>
            <w:rFonts w:eastAsia="Calibri" w:cs="Arial"/>
            <w:noProof/>
            <w:lang w:eastAsia="en-GB"/>
          </w:rPr>
          <w:t>Restrictions on the retransmissions of TB can be applied for both HARQ options for the purpose of congestion control.</w:t>
        </w:r>
      </w:hyperlink>
    </w:p>
    <w:p w14:paraId="01AF9939" w14:textId="6FC39FB5"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6" w:history="1">
        <w:r w:rsidR="00BA0D2D" w:rsidRPr="00BA0D2D">
          <w:rPr>
            <w:rStyle w:val="Hyperlink"/>
            <w:rFonts w:cs="Arial"/>
            <w:noProof/>
          </w:rPr>
          <w:t>Observation 4</w:t>
        </w:r>
        <w:r w:rsidR="00BA0D2D" w:rsidRPr="00BA0D2D">
          <w:rPr>
            <w:rFonts w:asciiTheme="minorHAnsi" w:eastAsiaTheme="minorEastAsia" w:hAnsiTheme="minorHAnsi" w:cstheme="minorBidi"/>
            <w:b w:val="0"/>
            <w:noProof/>
            <w:sz w:val="22"/>
            <w:szCs w:val="22"/>
          </w:rPr>
          <w:tab/>
        </w:r>
        <w:r w:rsidR="00BA0D2D" w:rsidRPr="00BA0D2D">
          <w:rPr>
            <w:rStyle w:val="Hyperlink"/>
            <w:rFonts w:cs="Arial"/>
            <w:noProof/>
          </w:rPr>
          <w:t>Sidelink CSIT can enable link adaptation and precoder selection for sidelink unicast.</w:t>
        </w:r>
      </w:hyperlink>
    </w:p>
    <w:p w14:paraId="4895C1A6" w14:textId="38ECBEB0"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7" w:history="1">
        <w:r w:rsidR="00BA0D2D" w:rsidRPr="00BA0D2D">
          <w:rPr>
            <w:rStyle w:val="Hyperlink"/>
            <w:rFonts w:cs="Arial"/>
            <w:noProof/>
          </w:rPr>
          <w:t>Observation 5</w:t>
        </w:r>
        <w:r w:rsidR="00BA0D2D" w:rsidRPr="00BA0D2D">
          <w:rPr>
            <w:rFonts w:asciiTheme="minorHAnsi" w:eastAsiaTheme="minorEastAsia" w:hAnsiTheme="minorHAnsi" w:cstheme="minorBidi"/>
            <w:b w:val="0"/>
            <w:noProof/>
            <w:sz w:val="22"/>
            <w:szCs w:val="22"/>
          </w:rPr>
          <w:tab/>
        </w:r>
        <w:r w:rsidR="00BA0D2D" w:rsidRPr="00BA0D2D">
          <w:rPr>
            <w:rStyle w:val="Hyperlink"/>
            <w:noProof/>
          </w:rPr>
          <w:t>Using RI, wideband PMI and CQI reports, joint CL-MIMO and LA scheme provides clear throughput gain compared to open-loop RPS schemes in LOS scenarios</w:t>
        </w:r>
        <w:r w:rsidR="00BA0D2D" w:rsidRPr="00BA0D2D">
          <w:rPr>
            <w:rStyle w:val="Hyperlink"/>
            <w:rFonts w:cs="Arial"/>
            <w:noProof/>
          </w:rPr>
          <w:t>.</w:t>
        </w:r>
      </w:hyperlink>
    </w:p>
    <w:p w14:paraId="7AFEA5AA" w14:textId="0086C44C" w:rsidR="006E1C82" w:rsidRPr="00BA0D2D" w:rsidRDefault="006F6582" w:rsidP="006E1C82">
      <w:pPr>
        <w:pStyle w:val="BodyText"/>
      </w:pPr>
      <w:r w:rsidRPr="00BA0D2D">
        <w:rPr>
          <w:b/>
          <w:bCs/>
        </w:rPr>
        <w:fldChar w:fldCharType="end"/>
      </w:r>
      <w:r w:rsidR="008E065E" w:rsidRPr="00BA0D2D">
        <w:t xml:space="preserve">Based on the discussion in </w:t>
      </w:r>
      <w:r w:rsidR="007729A2" w:rsidRPr="00BA0D2D">
        <w:t xml:space="preserve">the previous </w:t>
      </w:r>
      <w:r w:rsidR="008E065E" w:rsidRPr="00BA0D2D">
        <w:t>section</w:t>
      </w:r>
      <w:r w:rsidR="007729A2" w:rsidRPr="00BA0D2D">
        <w:t>s</w:t>
      </w:r>
      <w:r w:rsidR="008E065E" w:rsidRPr="00BA0D2D">
        <w:t xml:space="preserve"> we propose the following:</w:t>
      </w:r>
    </w:p>
    <w:p w14:paraId="2AACFA8D" w14:textId="73AB425C" w:rsidR="00BA0D2D" w:rsidRPr="00BA0D2D" w:rsidRDefault="006E1C82">
      <w:pPr>
        <w:pStyle w:val="TableofFigures"/>
        <w:tabs>
          <w:tab w:val="right" w:leader="dot" w:pos="9629"/>
        </w:tabs>
        <w:rPr>
          <w:rFonts w:asciiTheme="minorHAnsi" w:eastAsiaTheme="minorEastAsia" w:hAnsiTheme="minorHAnsi" w:cstheme="minorBidi"/>
          <w:b w:val="0"/>
          <w:noProof/>
          <w:sz w:val="22"/>
          <w:szCs w:val="22"/>
        </w:rPr>
      </w:pPr>
      <w:r w:rsidRPr="00BA0D2D">
        <w:rPr>
          <w:b w:val="0"/>
          <w:bCs/>
          <w:lang w:val="en-US"/>
        </w:rPr>
        <w:fldChar w:fldCharType="begin"/>
      </w:r>
      <w:r w:rsidRPr="00BA0D2D">
        <w:rPr>
          <w:b w:val="0"/>
          <w:bCs/>
          <w:lang w:val="en-US"/>
        </w:rPr>
        <w:instrText xml:space="preserve"> TOC \n \h \z \t "Proposal" \c </w:instrText>
      </w:r>
      <w:r w:rsidRPr="00BA0D2D">
        <w:rPr>
          <w:b w:val="0"/>
          <w:bCs/>
          <w:lang w:val="en-US"/>
        </w:rPr>
        <w:fldChar w:fldCharType="separate"/>
      </w:r>
      <w:hyperlink w:anchor="_Toc1120550" w:history="1">
        <w:r w:rsidR="00BA0D2D" w:rsidRPr="00BA0D2D">
          <w:rPr>
            <w:rStyle w:val="Hyperlink"/>
            <w:noProof/>
            <w:lang w:eastAsia="en-GB"/>
          </w:rPr>
          <w:t>Proposal 1</w:t>
        </w:r>
        <w:r w:rsidR="00BA0D2D" w:rsidRPr="00BA0D2D">
          <w:rPr>
            <w:rFonts w:asciiTheme="minorHAnsi" w:eastAsiaTheme="minorEastAsia" w:hAnsiTheme="minorHAnsi" w:cstheme="minorBidi"/>
            <w:b w:val="0"/>
            <w:noProof/>
            <w:sz w:val="22"/>
            <w:szCs w:val="22"/>
          </w:rPr>
          <w:tab/>
        </w:r>
        <w:r w:rsidR="00BA0D2D" w:rsidRPr="00BA0D2D">
          <w:rPr>
            <w:rStyle w:val="Hyperlink"/>
            <w:noProof/>
            <w:lang w:eastAsia="en-GB"/>
          </w:rPr>
          <w:t>Discuss the size and determination of Layer-1 IDs during the WI and based on RAN2 progress.</w:t>
        </w:r>
      </w:hyperlink>
    </w:p>
    <w:p w14:paraId="4914B276" w14:textId="6968AB04"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1" w:history="1">
        <w:r w:rsidR="00BA0D2D" w:rsidRPr="00BA0D2D">
          <w:rPr>
            <w:rStyle w:val="Hyperlink"/>
            <w:noProof/>
          </w:rPr>
          <w:t>Proposal 2</w:t>
        </w:r>
        <w:r w:rsidR="00BA0D2D" w:rsidRPr="00BA0D2D">
          <w:rPr>
            <w:rFonts w:asciiTheme="minorHAnsi" w:eastAsiaTheme="minorEastAsia" w:hAnsiTheme="minorHAnsi" w:cstheme="minorBidi"/>
            <w:b w:val="0"/>
            <w:noProof/>
            <w:sz w:val="22"/>
            <w:szCs w:val="22"/>
          </w:rPr>
          <w:tab/>
        </w:r>
        <w:r w:rsidR="00BA0D2D" w:rsidRPr="00BA0D2D">
          <w:rPr>
            <w:rStyle w:val="Hyperlink"/>
            <w:noProof/>
          </w:rPr>
          <w:t>For SL HARQ, CBG-based HARQ feedback is supported.</w:t>
        </w:r>
      </w:hyperlink>
    </w:p>
    <w:p w14:paraId="3A0F3E65" w14:textId="0EC19EAB"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2" w:history="1">
        <w:r w:rsidR="00BA0D2D" w:rsidRPr="00BA0D2D">
          <w:rPr>
            <w:rStyle w:val="Hyperlink"/>
            <w:rFonts w:ascii="Symbol" w:eastAsia="Calibri" w:hAnsi="Symbol" w:cs="Arial"/>
            <w:noProof/>
            <w:lang w:eastAsia="en-GB"/>
          </w:rPr>
          <w:t></w:t>
        </w:r>
        <w:r w:rsidR="00BA0D2D" w:rsidRPr="00BA0D2D">
          <w:rPr>
            <w:rFonts w:asciiTheme="minorHAnsi" w:eastAsiaTheme="minorEastAsia" w:hAnsiTheme="minorHAnsi" w:cstheme="minorBidi"/>
            <w:b w:val="0"/>
            <w:noProof/>
            <w:sz w:val="22"/>
            <w:szCs w:val="22"/>
          </w:rPr>
          <w:tab/>
        </w:r>
        <w:r w:rsidR="00BA0D2D" w:rsidRPr="00BA0D2D">
          <w:rPr>
            <w:rStyle w:val="Hyperlink"/>
            <w:rFonts w:cs="Arial"/>
            <w:noProof/>
          </w:rPr>
          <w:t>FFS how to configure the use of TB-based and CBG-based HARQ feedback</w:t>
        </w:r>
        <w:r w:rsidR="00BA0D2D" w:rsidRPr="00BA0D2D">
          <w:rPr>
            <w:rStyle w:val="Hyperlink"/>
            <w:noProof/>
          </w:rPr>
          <w:t>.</w:t>
        </w:r>
      </w:hyperlink>
    </w:p>
    <w:p w14:paraId="75D9873F" w14:textId="131B281A"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3" w:history="1">
        <w:r w:rsidR="00BA0D2D" w:rsidRPr="00BA0D2D">
          <w:rPr>
            <w:rStyle w:val="Hyperlink"/>
            <w:noProof/>
          </w:rPr>
          <w:t>Proposal 3</w:t>
        </w:r>
        <w:r w:rsidR="00BA0D2D" w:rsidRPr="00BA0D2D">
          <w:rPr>
            <w:rFonts w:asciiTheme="minorHAnsi" w:eastAsiaTheme="minorEastAsia" w:hAnsiTheme="minorHAnsi" w:cstheme="minorBidi"/>
            <w:b w:val="0"/>
            <w:noProof/>
            <w:sz w:val="22"/>
            <w:szCs w:val="22"/>
          </w:rPr>
          <w:tab/>
        </w:r>
        <w:r w:rsidR="00BA0D2D" w:rsidRPr="00BA0D2D">
          <w:rPr>
            <w:rStyle w:val="Hyperlink"/>
            <w:noProof/>
          </w:rPr>
          <w:t>For Mode 1 UEs the use of HARQ feedback is configured by the network. For Mode 2 UEs, the transmitter of a TB/CBG decides whether to request feedback.</w:t>
        </w:r>
      </w:hyperlink>
    </w:p>
    <w:p w14:paraId="352684EE" w14:textId="4B00D6A6"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4" w:history="1">
        <w:r w:rsidR="00BA0D2D" w:rsidRPr="00BA0D2D">
          <w:rPr>
            <w:rStyle w:val="Hyperlink"/>
            <w:noProof/>
            <w:lang w:eastAsia="ja-JP"/>
          </w:rPr>
          <w:t>Proposal 4</w:t>
        </w:r>
        <w:r w:rsidR="00BA0D2D" w:rsidRPr="00BA0D2D">
          <w:rPr>
            <w:rFonts w:asciiTheme="minorHAnsi" w:eastAsiaTheme="minorEastAsia" w:hAnsiTheme="minorHAnsi" w:cstheme="minorBidi"/>
            <w:b w:val="0"/>
            <w:noProof/>
            <w:sz w:val="22"/>
            <w:szCs w:val="22"/>
          </w:rPr>
          <w:tab/>
        </w:r>
        <w:r w:rsidR="00BA0D2D" w:rsidRPr="00BA0D2D">
          <w:rPr>
            <w:rStyle w:val="Hyperlink"/>
            <w:noProof/>
            <w:lang w:eastAsia="ja-JP"/>
          </w:rPr>
          <w:t>Confirm the working assumption of RAN1#ah-1901 to support both option 1 and option 2 in case of groupcast communication.</w:t>
        </w:r>
      </w:hyperlink>
    </w:p>
    <w:p w14:paraId="21C680D8" w14:textId="3D0EB4DB"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5" w:history="1">
        <w:r w:rsidR="00BA0D2D" w:rsidRPr="00BA0D2D">
          <w:rPr>
            <w:rStyle w:val="Hyperlink"/>
            <w:noProof/>
          </w:rPr>
          <w:t>Proposal 6</w:t>
        </w:r>
        <w:r w:rsidR="00BA0D2D" w:rsidRPr="00BA0D2D">
          <w:rPr>
            <w:rFonts w:asciiTheme="minorHAnsi" w:eastAsiaTheme="minorEastAsia" w:hAnsiTheme="minorHAnsi" w:cstheme="minorBidi"/>
            <w:b w:val="0"/>
            <w:noProof/>
            <w:sz w:val="22"/>
            <w:szCs w:val="22"/>
          </w:rPr>
          <w:tab/>
        </w:r>
        <w:r w:rsidR="00BA0D2D" w:rsidRPr="00BA0D2D">
          <w:rPr>
            <w:rStyle w:val="Hyperlink"/>
            <w:noProof/>
          </w:rPr>
          <w:t>Presence of PSFCH in a slot is signalled in the SCI associated with the corresponding data transmission.</w:t>
        </w:r>
      </w:hyperlink>
    </w:p>
    <w:p w14:paraId="5749A4E6" w14:textId="58371CBA"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6" w:history="1">
        <w:r w:rsidR="00BA0D2D" w:rsidRPr="00BA0D2D">
          <w:rPr>
            <w:rStyle w:val="Hyperlink"/>
            <w:noProof/>
          </w:rPr>
          <w:t>Proposal 7</w:t>
        </w:r>
        <w:r w:rsidR="00BA0D2D" w:rsidRPr="00BA0D2D">
          <w:rPr>
            <w:rFonts w:asciiTheme="minorHAnsi" w:eastAsiaTheme="minorEastAsia" w:hAnsiTheme="minorHAnsi" w:cstheme="minorBidi"/>
            <w:b w:val="0"/>
            <w:noProof/>
            <w:sz w:val="22"/>
            <w:szCs w:val="22"/>
          </w:rPr>
          <w:tab/>
        </w:r>
        <w:r w:rsidR="00BA0D2D" w:rsidRPr="00BA0D2D">
          <w:rPr>
            <w:rStyle w:val="Hyperlink"/>
            <w:noProof/>
          </w:rPr>
          <w:t>In mode-1, TX UE sends an indication to gNB for the need of HARQ retransmission which includes both ACK and NACK indication.</w:t>
        </w:r>
      </w:hyperlink>
    </w:p>
    <w:p w14:paraId="3F4801DE" w14:textId="5DE9A0D0"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7" w:history="1">
        <w:r w:rsidR="00BA0D2D" w:rsidRPr="00BA0D2D">
          <w:rPr>
            <w:rStyle w:val="Hyperlink"/>
            <w:noProof/>
          </w:rPr>
          <w:t>Proposal 8</w:t>
        </w:r>
        <w:r w:rsidR="00BA0D2D" w:rsidRPr="00BA0D2D">
          <w:rPr>
            <w:rFonts w:asciiTheme="minorHAnsi" w:eastAsiaTheme="minorEastAsia" w:hAnsiTheme="minorHAnsi" w:cstheme="minorBidi"/>
            <w:b w:val="0"/>
            <w:noProof/>
            <w:sz w:val="22"/>
            <w:szCs w:val="22"/>
          </w:rPr>
          <w:tab/>
        </w:r>
        <w:r w:rsidR="00BA0D2D" w:rsidRPr="00BA0D2D">
          <w:rPr>
            <w:rStyle w:val="Hyperlink"/>
            <w:rFonts w:cs="Arial"/>
            <w:noProof/>
          </w:rPr>
          <w:t>At least RI report, wideband PMI and CQI reports are supported for sidelink unicast</w:t>
        </w:r>
        <w:r w:rsidR="00BA0D2D" w:rsidRPr="00BA0D2D">
          <w:rPr>
            <w:rStyle w:val="Hyperlink"/>
            <w:noProof/>
          </w:rPr>
          <w:t>.</w:t>
        </w:r>
      </w:hyperlink>
    </w:p>
    <w:p w14:paraId="487C7438" w14:textId="1AC86DB2"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8" w:history="1">
        <w:r w:rsidR="00BA0D2D" w:rsidRPr="00BA0D2D">
          <w:rPr>
            <w:rStyle w:val="Hyperlink"/>
            <w:noProof/>
          </w:rPr>
          <w:t>Proposal 9</w:t>
        </w:r>
        <w:r w:rsidR="00BA0D2D" w:rsidRPr="00BA0D2D">
          <w:rPr>
            <w:rFonts w:asciiTheme="minorHAnsi" w:eastAsiaTheme="minorEastAsia" w:hAnsiTheme="minorHAnsi" w:cstheme="minorBidi"/>
            <w:b w:val="0"/>
            <w:noProof/>
            <w:sz w:val="22"/>
            <w:szCs w:val="22"/>
          </w:rPr>
          <w:tab/>
        </w:r>
        <w:r w:rsidR="00BA0D2D" w:rsidRPr="00BA0D2D">
          <w:rPr>
            <w:rStyle w:val="Hyperlink"/>
            <w:noProof/>
          </w:rPr>
          <w:t>CL-MIMO is supported for sidelink unicast.</w:t>
        </w:r>
      </w:hyperlink>
    </w:p>
    <w:p w14:paraId="698368A0" w14:textId="25651582"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59" w:history="1">
        <w:r w:rsidR="00BA0D2D" w:rsidRPr="00BA0D2D">
          <w:rPr>
            <w:rStyle w:val="Hyperlink"/>
            <w:noProof/>
          </w:rPr>
          <w:t>Proposal 10</w:t>
        </w:r>
        <w:r w:rsidR="00BA0D2D" w:rsidRPr="00BA0D2D">
          <w:rPr>
            <w:rFonts w:asciiTheme="minorHAnsi" w:eastAsiaTheme="minorEastAsia" w:hAnsiTheme="minorHAnsi" w:cstheme="minorBidi"/>
            <w:b w:val="0"/>
            <w:noProof/>
            <w:sz w:val="22"/>
            <w:szCs w:val="22"/>
          </w:rPr>
          <w:tab/>
        </w:r>
        <w:r w:rsidR="00BA0D2D" w:rsidRPr="00BA0D2D">
          <w:rPr>
            <w:rStyle w:val="Hyperlink"/>
            <w:noProof/>
          </w:rPr>
          <w:t>Link adaption including both outer-loop and inner-loop is supported for sidelink unicast.</w:t>
        </w:r>
      </w:hyperlink>
    </w:p>
    <w:p w14:paraId="7151AB9F" w14:textId="677C1C2D"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0" w:history="1">
        <w:r w:rsidR="00BA0D2D" w:rsidRPr="00BA0D2D">
          <w:rPr>
            <w:rStyle w:val="Hyperlink"/>
            <w:noProof/>
          </w:rPr>
          <w:t>Proposal 11</w:t>
        </w:r>
        <w:r w:rsidR="00BA0D2D" w:rsidRPr="00BA0D2D">
          <w:rPr>
            <w:rFonts w:asciiTheme="minorHAnsi" w:eastAsiaTheme="minorEastAsia" w:hAnsiTheme="minorHAnsi" w:cstheme="minorBidi"/>
            <w:b w:val="0"/>
            <w:noProof/>
            <w:sz w:val="22"/>
            <w:szCs w:val="22"/>
          </w:rPr>
          <w:tab/>
        </w:r>
        <w:r w:rsidR="00BA0D2D" w:rsidRPr="00BA0D2D">
          <w:rPr>
            <w:rStyle w:val="Hyperlink"/>
            <w:noProof/>
          </w:rPr>
          <w:t>Closed-loop power control is not supported for NR V2X.</w:t>
        </w:r>
      </w:hyperlink>
    </w:p>
    <w:p w14:paraId="6531E95F" w14:textId="23B9FF3E"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1" w:history="1">
        <w:r w:rsidR="00BA0D2D" w:rsidRPr="00BA0D2D">
          <w:rPr>
            <w:rStyle w:val="Hyperlink"/>
            <w:noProof/>
          </w:rPr>
          <w:t>Proposal 12</w:t>
        </w:r>
        <w:r w:rsidR="00BA0D2D" w:rsidRPr="00BA0D2D">
          <w:rPr>
            <w:rFonts w:asciiTheme="minorHAnsi" w:eastAsiaTheme="minorEastAsia" w:hAnsiTheme="minorHAnsi" w:cstheme="minorBidi"/>
            <w:b w:val="0"/>
            <w:noProof/>
            <w:sz w:val="22"/>
            <w:szCs w:val="22"/>
          </w:rPr>
          <w:tab/>
        </w:r>
        <w:r w:rsidR="00BA0D2D" w:rsidRPr="00BA0D2D">
          <w:rPr>
            <w:rStyle w:val="Hyperlink"/>
            <w:noProof/>
          </w:rPr>
          <w:t>Open loop SL power control, if (pre-)configured by the network, makes use of CSIT acquisition framework i.e. by measuring RSRP at TX UE or by receiving RSRP report from RX UE.</w:t>
        </w:r>
      </w:hyperlink>
    </w:p>
    <w:p w14:paraId="46D2D008" w14:textId="5862E822" w:rsidR="00BA0D2D" w:rsidRPr="00BA0D2D" w:rsidRDefault="00F54F69">
      <w:pPr>
        <w:pStyle w:val="TableofFigures"/>
        <w:tabs>
          <w:tab w:val="right" w:leader="dot" w:pos="9629"/>
        </w:tabs>
        <w:rPr>
          <w:rFonts w:asciiTheme="minorHAnsi" w:eastAsiaTheme="minorEastAsia" w:hAnsiTheme="minorHAnsi" w:cstheme="minorBidi"/>
          <w:b w:val="0"/>
          <w:noProof/>
          <w:sz w:val="22"/>
          <w:szCs w:val="22"/>
        </w:rPr>
      </w:pPr>
      <w:hyperlink w:anchor="_Toc1120562" w:history="1">
        <w:r w:rsidR="00BA0D2D" w:rsidRPr="00BA0D2D">
          <w:rPr>
            <w:rStyle w:val="Hyperlink"/>
            <w:noProof/>
          </w:rPr>
          <w:t>Proposal 13</w:t>
        </w:r>
        <w:r w:rsidR="00BA0D2D" w:rsidRPr="00BA0D2D">
          <w:rPr>
            <w:rFonts w:asciiTheme="minorHAnsi" w:eastAsiaTheme="minorEastAsia" w:hAnsiTheme="minorHAnsi" w:cstheme="minorBidi"/>
            <w:b w:val="0"/>
            <w:noProof/>
            <w:sz w:val="22"/>
            <w:szCs w:val="22"/>
          </w:rPr>
          <w:tab/>
        </w:r>
        <w:r w:rsidR="00BA0D2D" w:rsidRPr="00BA0D2D">
          <w:rPr>
            <w:rStyle w:val="Hyperlink"/>
            <w:noProof/>
          </w:rPr>
          <w:t>Open loop SL power control for groupcast is based on the communication range requirement.</w:t>
        </w:r>
      </w:hyperlink>
    </w:p>
    <w:p w14:paraId="3D2C92AC" w14:textId="2824E68A" w:rsidR="00C01F33" w:rsidRPr="00BA0D2D" w:rsidRDefault="006E1C82" w:rsidP="004F0606">
      <w:pPr>
        <w:pStyle w:val="TableofFigures"/>
        <w:rPr>
          <w:bCs/>
        </w:rPr>
      </w:pPr>
      <w:r w:rsidRPr="00BA0D2D">
        <w:rPr>
          <w:b w:val="0"/>
          <w:bCs/>
          <w:lang w:val="en-US"/>
        </w:rPr>
        <w:fldChar w:fldCharType="end"/>
      </w:r>
    </w:p>
    <w:p w14:paraId="7203AEF7" w14:textId="501EB8CA" w:rsidR="00F507D1" w:rsidRPr="00BA0D2D" w:rsidRDefault="000251C3" w:rsidP="00CE0424">
      <w:pPr>
        <w:pStyle w:val="Heading1"/>
      </w:pPr>
      <w:bookmarkStart w:id="75" w:name="_In-sequence_SDU_delivery"/>
      <w:bookmarkEnd w:id="75"/>
      <w:r>
        <w:rPr>
          <w:lang/>
        </w:rPr>
        <w:lastRenderedPageBreak/>
        <w:t>8</w:t>
      </w:r>
      <w:r>
        <w:rPr>
          <w:lang/>
        </w:rPr>
        <w:tab/>
      </w:r>
      <w:r w:rsidR="00F507D1" w:rsidRPr="00BA0D2D">
        <w:t>References</w:t>
      </w:r>
    </w:p>
    <w:p w14:paraId="4EF1D44C" w14:textId="2FB47397" w:rsidR="00752699" w:rsidRPr="00BA0D2D" w:rsidRDefault="002A25FD" w:rsidP="00752699">
      <w:pPr>
        <w:pStyle w:val="Reference"/>
        <w:overflowPunct/>
        <w:autoSpaceDE/>
        <w:autoSpaceDN/>
        <w:adjustRightInd/>
        <w:spacing w:line="259" w:lineRule="auto"/>
        <w:textAlignment w:val="auto"/>
      </w:pPr>
      <w:bookmarkStart w:id="76" w:name="_Ref528137576"/>
      <w:bookmarkStart w:id="77" w:name="_Ref534699241"/>
      <w:bookmarkStart w:id="78" w:name="_Ref1119207"/>
      <w:bookmarkStart w:id="79" w:name="_Ref174151459"/>
      <w:bookmarkStart w:id="80" w:name="_Ref189809556"/>
      <w:r>
        <w:t>R1-1903181</w:t>
      </w:r>
      <w:r w:rsidR="00752699" w:rsidRPr="00BA0D2D">
        <w:t xml:space="preserve">, “Link level evaluations of NR PSSCH”, </w:t>
      </w:r>
      <w:bookmarkStart w:id="81" w:name="_Ref889115"/>
      <w:bookmarkEnd w:id="76"/>
      <w:bookmarkEnd w:id="77"/>
      <w:r w:rsidR="00752699" w:rsidRPr="00BA0D2D">
        <w:t>Ericsson, RAN1 #</w:t>
      </w:r>
      <w:r>
        <w:t>96</w:t>
      </w:r>
      <w:r w:rsidR="00752699" w:rsidRPr="00BA0D2D">
        <w:t xml:space="preserve">, </w:t>
      </w:r>
      <w:r>
        <w:t>Feb</w:t>
      </w:r>
      <w:r w:rsidR="00752699" w:rsidRPr="00BA0D2D">
        <w:t>. 2019.</w:t>
      </w:r>
      <w:bookmarkEnd w:id="78"/>
    </w:p>
    <w:p w14:paraId="38939F19" w14:textId="77777777" w:rsidR="007F1DE6" w:rsidRPr="00BA0D2D" w:rsidRDefault="00752699" w:rsidP="007F1DE6">
      <w:pPr>
        <w:pStyle w:val="Reference"/>
        <w:overflowPunct/>
        <w:autoSpaceDE/>
        <w:autoSpaceDN/>
        <w:adjustRightInd/>
        <w:spacing w:line="259" w:lineRule="auto"/>
        <w:textAlignment w:val="auto"/>
      </w:pPr>
      <w:bookmarkStart w:id="82" w:name="_Ref1119224"/>
      <w:r w:rsidRPr="00BA0D2D">
        <w:t>R1-</w:t>
      </w:r>
      <w:r w:rsidR="007F1DE6" w:rsidRPr="007F1DE6">
        <w:t xml:space="preserve"> </w:t>
      </w:r>
      <w:r w:rsidR="007F1DE6">
        <w:t>1903175</w:t>
      </w:r>
      <w:r w:rsidRPr="00BA0D2D">
        <w:t>, “Details on CSIT acquisition for SL unicast”, Ericsson</w:t>
      </w:r>
      <w:bookmarkEnd w:id="79"/>
      <w:bookmarkEnd w:id="80"/>
      <w:bookmarkEnd w:id="81"/>
      <w:bookmarkEnd w:id="82"/>
      <w:r w:rsidR="007F1DE6" w:rsidRPr="00BA0D2D">
        <w:t>, RAN1 #</w:t>
      </w:r>
      <w:r w:rsidR="007F1DE6">
        <w:t>96</w:t>
      </w:r>
      <w:r w:rsidR="007F1DE6" w:rsidRPr="00BA0D2D">
        <w:t xml:space="preserve">, </w:t>
      </w:r>
      <w:r w:rsidR="007F1DE6">
        <w:t>Feb</w:t>
      </w:r>
      <w:r w:rsidR="007F1DE6" w:rsidRPr="00BA0D2D">
        <w:t>. 2019.</w:t>
      </w:r>
    </w:p>
    <w:p w14:paraId="3F07174F" w14:textId="17DDF60C" w:rsidR="00752699" w:rsidRPr="00BA0D2D" w:rsidRDefault="009921B3" w:rsidP="00752699">
      <w:pPr>
        <w:pStyle w:val="Reference"/>
        <w:overflowPunct/>
        <w:autoSpaceDE/>
        <w:autoSpaceDN/>
        <w:adjustRightInd/>
        <w:spacing w:line="259" w:lineRule="auto"/>
        <w:textAlignment w:val="auto"/>
      </w:pPr>
      <w:r>
        <w:t>R1-1903179</w:t>
      </w:r>
      <w:r w:rsidR="00752699" w:rsidRPr="00BA0D2D">
        <w:t>, “</w:t>
      </w:r>
      <w:r>
        <w:t>On HARQ support for mode-1</w:t>
      </w:r>
      <w:r w:rsidR="00752699" w:rsidRPr="00BA0D2D">
        <w:t>”, Ericsson, RAN1#96, Feb. 2019.</w:t>
      </w:r>
      <w:r w:rsidR="00752699" w:rsidRPr="007F1DE6">
        <w:rPr>
          <w:lang w:val="en-US"/>
        </w:rPr>
        <w:t xml:space="preserve"> </w:t>
      </w:r>
    </w:p>
    <w:p w14:paraId="160AEB19" w14:textId="7F09233D" w:rsidR="009921B3" w:rsidRPr="00BA0D2D" w:rsidRDefault="003A59B5" w:rsidP="009921B3">
      <w:pPr>
        <w:pStyle w:val="Reference"/>
        <w:overflowPunct/>
        <w:autoSpaceDE/>
        <w:autoSpaceDN/>
        <w:adjustRightInd/>
        <w:spacing w:line="259" w:lineRule="auto"/>
        <w:textAlignment w:val="auto"/>
      </w:pPr>
      <w:r>
        <w:t>R1-1903166</w:t>
      </w:r>
      <w:r w:rsidR="009921B3" w:rsidRPr="00BA0D2D">
        <w:t>, “</w:t>
      </w:r>
      <w:r>
        <w:t>Resource allocation procedures for Mode 2</w:t>
      </w:r>
      <w:r w:rsidR="009921B3" w:rsidRPr="00BA0D2D">
        <w:t>”, Ericsson, RAN1#96, Feb. 2019.</w:t>
      </w:r>
      <w:r w:rsidR="009921B3" w:rsidRPr="007F1DE6">
        <w:rPr>
          <w:lang w:val="en-US"/>
        </w:rPr>
        <w:t xml:space="preserve"> </w:t>
      </w:r>
    </w:p>
    <w:p w14:paraId="66DBAFA4" w14:textId="3EC8D1F3" w:rsidR="00752699" w:rsidRPr="00BA0D2D" w:rsidRDefault="000251C3" w:rsidP="00752699">
      <w:pPr>
        <w:pStyle w:val="Heading1"/>
      </w:pPr>
      <w:r>
        <w:rPr>
          <w:lang/>
        </w:rPr>
        <w:t>9</w:t>
      </w:r>
      <w:r>
        <w:rPr>
          <w:lang/>
        </w:rPr>
        <w:tab/>
      </w:r>
      <w:r w:rsidR="00752699" w:rsidRPr="00BA0D2D">
        <w:t>Appendix</w:t>
      </w:r>
    </w:p>
    <w:p w14:paraId="7F50DF85" w14:textId="77777777" w:rsidR="00752699" w:rsidRPr="00BA0D2D" w:rsidRDefault="00752699" w:rsidP="00752699">
      <w:pPr>
        <w:pStyle w:val="Caption"/>
        <w:jc w:val="center"/>
      </w:pPr>
      <w:bookmarkStart w:id="83" w:name="_Ref534897317"/>
      <w:r w:rsidRPr="00BA0D2D">
        <w:t xml:space="preserve">Table </w:t>
      </w:r>
      <w:bookmarkEnd w:id="83"/>
      <w:r w:rsidRPr="00BA0D2D">
        <w:t xml:space="preserve">1: </w:t>
      </w:r>
      <w:r w:rsidRPr="00BA0D2D">
        <w:rPr>
          <w:rFonts w:ascii="Arial" w:hAnsi="Arial" w:cs="Arial"/>
        </w:rPr>
        <w:t>Simulation settings for the evaluation of CSIT assisted transmission</w:t>
      </w:r>
    </w:p>
    <w:tbl>
      <w:tblPr>
        <w:tblStyle w:val="TableGrid"/>
        <w:tblW w:w="0" w:type="auto"/>
        <w:jc w:val="center"/>
        <w:tblLook w:val="04A0" w:firstRow="1" w:lastRow="0" w:firstColumn="1" w:lastColumn="0" w:noHBand="0" w:noVBand="1"/>
      </w:tblPr>
      <w:tblGrid>
        <w:gridCol w:w="4106"/>
        <w:gridCol w:w="4536"/>
      </w:tblGrid>
      <w:tr w:rsidR="00752699" w:rsidRPr="00BA0D2D" w14:paraId="31EBE6BC" w14:textId="77777777" w:rsidTr="00F804BB">
        <w:trPr>
          <w:jc w:val="center"/>
        </w:trPr>
        <w:tc>
          <w:tcPr>
            <w:tcW w:w="4106" w:type="dxa"/>
          </w:tcPr>
          <w:p w14:paraId="5C9BF1D1" w14:textId="77777777" w:rsidR="00752699" w:rsidRPr="00BA0D2D" w:rsidRDefault="00752699" w:rsidP="00F804BB">
            <w:pPr>
              <w:rPr>
                <w:rFonts w:ascii="Arial" w:hAnsi="Arial" w:cs="Arial"/>
                <w:b/>
                <w:sz w:val="20"/>
                <w:szCs w:val="20"/>
              </w:rPr>
            </w:pPr>
            <w:r w:rsidRPr="00BA0D2D">
              <w:rPr>
                <w:rFonts w:ascii="Arial" w:hAnsi="Arial" w:cs="Arial"/>
                <w:b/>
                <w:sz w:val="20"/>
                <w:szCs w:val="20"/>
              </w:rPr>
              <w:t>Parameters</w:t>
            </w:r>
          </w:p>
        </w:tc>
        <w:tc>
          <w:tcPr>
            <w:tcW w:w="4536" w:type="dxa"/>
          </w:tcPr>
          <w:p w14:paraId="6598CC8B" w14:textId="77777777" w:rsidR="00752699" w:rsidRPr="00BA0D2D" w:rsidRDefault="00752699" w:rsidP="00F804BB">
            <w:pPr>
              <w:rPr>
                <w:rFonts w:ascii="Arial" w:hAnsi="Arial" w:cs="Arial"/>
                <w:b/>
                <w:sz w:val="20"/>
                <w:szCs w:val="20"/>
              </w:rPr>
            </w:pPr>
            <w:r w:rsidRPr="00BA0D2D">
              <w:rPr>
                <w:rFonts w:ascii="Arial" w:hAnsi="Arial" w:cs="Arial"/>
                <w:b/>
                <w:sz w:val="20"/>
                <w:szCs w:val="20"/>
              </w:rPr>
              <w:t>Values</w:t>
            </w:r>
          </w:p>
        </w:tc>
      </w:tr>
      <w:tr w:rsidR="00752699" w:rsidRPr="00BA0D2D" w14:paraId="34B81C21" w14:textId="77777777" w:rsidTr="00F804BB">
        <w:trPr>
          <w:jc w:val="center"/>
        </w:trPr>
        <w:tc>
          <w:tcPr>
            <w:tcW w:w="4106" w:type="dxa"/>
          </w:tcPr>
          <w:p w14:paraId="41FF85E6" w14:textId="77777777" w:rsidR="00752699" w:rsidRPr="00BA0D2D" w:rsidRDefault="00752699" w:rsidP="00F804BB">
            <w:pPr>
              <w:rPr>
                <w:rFonts w:ascii="Arial" w:hAnsi="Arial" w:cs="Arial"/>
                <w:sz w:val="20"/>
                <w:szCs w:val="20"/>
              </w:rPr>
            </w:pPr>
            <w:r w:rsidRPr="00BA0D2D">
              <w:rPr>
                <w:rFonts w:ascii="Arial" w:hAnsi="Arial" w:cs="Arial"/>
                <w:sz w:val="20"/>
                <w:szCs w:val="20"/>
              </w:rPr>
              <w:t>Carrier frequency</w:t>
            </w:r>
          </w:p>
        </w:tc>
        <w:tc>
          <w:tcPr>
            <w:tcW w:w="4536" w:type="dxa"/>
          </w:tcPr>
          <w:p w14:paraId="02C0ACF6" w14:textId="77777777" w:rsidR="00752699" w:rsidRPr="00BA0D2D" w:rsidRDefault="00752699" w:rsidP="00F804BB">
            <w:pPr>
              <w:rPr>
                <w:rFonts w:ascii="Arial" w:hAnsi="Arial" w:cs="Arial"/>
                <w:sz w:val="20"/>
                <w:szCs w:val="20"/>
              </w:rPr>
            </w:pPr>
            <w:r w:rsidRPr="00BA0D2D">
              <w:rPr>
                <w:rFonts w:ascii="Arial" w:hAnsi="Arial" w:cs="Arial"/>
                <w:sz w:val="20"/>
                <w:szCs w:val="20"/>
              </w:rPr>
              <w:t>6 GHz</w:t>
            </w:r>
          </w:p>
        </w:tc>
      </w:tr>
      <w:tr w:rsidR="00752699" w:rsidRPr="00BA0D2D" w14:paraId="02189D7C" w14:textId="77777777" w:rsidTr="00F804BB">
        <w:trPr>
          <w:jc w:val="center"/>
        </w:trPr>
        <w:tc>
          <w:tcPr>
            <w:tcW w:w="4106" w:type="dxa"/>
          </w:tcPr>
          <w:p w14:paraId="161BF1C3" w14:textId="77777777" w:rsidR="00752699" w:rsidRPr="00BA0D2D" w:rsidRDefault="00752699" w:rsidP="00F804BB">
            <w:pPr>
              <w:rPr>
                <w:rFonts w:ascii="Arial" w:hAnsi="Arial" w:cs="Arial"/>
                <w:sz w:val="20"/>
                <w:szCs w:val="20"/>
              </w:rPr>
            </w:pPr>
            <w:r w:rsidRPr="00BA0D2D">
              <w:rPr>
                <w:rFonts w:ascii="Arial" w:hAnsi="Arial" w:cs="Arial"/>
              </w:rPr>
              <w:t>System bandwidth</w:t>
            </w:r>
          </w:p>
        </w:tc>
        <w:tc>
          <w:tcPr>
            <w:tcW w:w="4536" w:type="dxa"/>
          </w:tcPr>
          <w:p w14:paraId="4916932A" w14:textId="77777777" w:rsidR="00752699" w:rsidRPr="00BA0D2D" w:rsidRDefault="00752699" w:rsidP="00F804BB">
            <w:pPr>
              <w:rPr>
                <w:rFonts w:ascii="Arial" w:hAnsi="Arial" w:cs="Arial"/>
                <w:sz w:val="20"/>
                <w:szCs w:val="20"/>
              </w:rPr>
            </w:pPr>
            <w:r w:rsidRPr="00BA0D2D">
              <w:rPr>
                <w:rFonts w:ascii="Arial" w:hAnsi="Arial" w:cs="Arial"/>
              </w:rPr>
              <w:t>10MHz</w:t>
            </w:r>
          </w:p>
        </w:tc>
      </w:tr>
      <w:tr w:rsidR="00752699" w:rsidRPr="00BA0D2D" w14:paraId="2FDF4620" w14:textId="77777777" w:rsidTr="00F804BB">
        <w:trPr>
          <w:jc w:val="center"/>
        </w:trPr>
        <w:tc>
          <w:tcPr>
            <w:tcW w:w="4106" w:type="dxa"/>
          </w:tcPr>
          <w:p w14:paraId="055E4EC1" w14:textId="77777777" w:rsidR="00752699" w:rsidRPr="00BA0D2D" w:rsidRDefault="00752699" w:rsidP="00F804BB">
            <w:pPr>
              <w:rPr>
                <w:rFonts w:ascii="Arial" w:hAnsi="Arial" w:cs="Arial"/>
              </w:rPr>
            </w:pPr>
            <w:r w:rsidRPr="00BA0D2D">
              <w:rPr>
                <w:rFonts w:ascii="Arial" w:hAnsi="Arial" w:cs="Arial"/>
              </w:rPr>
              <w:t>Subcarrier spacing</w:t>
            </w:r>
          </w:p>
        </w:tc>
        <w:tc>
          <w:tcPr>
            <w:tcW w:w="4536" w:type="dxa"/>
          </w:tcPr>
          <w:p w14:paraId="0DFFF824" w14:textId="77777777" w:rsidR="00752699" w:rsidRPr="00BA0D2D" w:rsidRDefault="00752699" w:rsidP="00F804BB">
            <w:pPr>
              <w:rPr>
                <w:rFonts w:ascii="Arial" w:hAnsi="Arial" w:cs="Arial"/>
              </w:rPr>
            </w:pPr>
            <w:r w:rsidRPr="00BA0D2D">
              <w:rPr>
                <w:rFonts w:ascii="Arial" w:hAnsi="Arial" w:cs="Arial"/>
              </w:rPr>
              <w:t>30 kHz</w:t>
            </w:r>
          </w:p>
        </w:tc>
      </w:tr>
      <w:tr w:rsidR="00752699" w:rsidRPr="00BA0D2D" w14:paraId="43BB9BFB" w14:textId="77777777" w:rsidTr="00F804BB">
        <w:trPr>
          <w:jc w:val="center"/>
        </w:trPr>
        <w:tc>
          <w:tcPr>
            <w:tcW w:w="4106" w:type="dxa"/>
          </w:tcPr>
          <w:p w14:paraId="2392080A" w14:textId="77777777" w:rsidR="00752699" w:rsidRPr="00BA0D2D" w:rsidRDefault="00752699" w:rsidP="00F804BB">
            <w:pPr>
              <w:rPr>
                <w:rFonts w:ascii="Arial" w:hAnsi="Arial" w:cs="Arial"/>
                <w:sz w:val="20"/>
                <w:szCs w:val="20"/>
              </w:rPr>
            </w:pPr>
            <w:r w:rsidRPr="00BA0D2D">
              <w:rPr>
                <w:rFonts w:ascii="Arial" w:hAnsi="Arial" w:cs="Arial"/>
                <w:sz w:val="20"/>
                <w:szCs w:val="20"/>
              </w:rPr>
              <w:t>Carrier frequency offset</w:t>
            </w:r>
          </w:p>
        </w:tc>
        <w:tc>
          <w:tcPr>
            <w:tcW w:w="4536" w:type="dxa"/>
          </w:tcPr>
          <w:p w14:paraId="344B31A0" w14:textId="77777777" w:rsidR="00752699" w:rsidRPr="00BA0D2D" w:rsidRDefault="00752699" w:rsidP="00F804BB">
            <w:pPr>
              <w:rPr>
                <w:rFonts w:ascii="Arial" w:hAnsi="Arial" w:cs="Arial"/>
                <w:sz w:val="20"/>
                <w:szCs w:val="20"/>
              </w:rPr>
            </w:pPr>
            <w:r w:rsidRPr="00BA0D2D">
              <w:rPr>
                <w:rFonts w:ascii="Arial" w:hAnsi="Arial" w:cs="Arial"/>
                <w:sz w:val="20"/>
                <w:szCs w:val="20"/>
              </w:rPr>
              <w:t>0 ppm</w:t>
            </w:r>
          </w:p>
        </w:tc>
      </w:tr>
      <w:tr w:rsidR="00752699" w:rsidRPr="00BA0D2D" w14:paraId="62D91301" w14:textId="77777777" w:rsidTr="00F804BB">
        <w:trPr>
          <w:jc w:val="center"/>
        </w:trPr>
        <w:tc>
          <w:tcPr>
            <w:tcW w:w="4106" w:type="dxa"/>
          </w:tcPr>
          <w:p w14:paraId="0F5BCE01" w14:textId="77777777" w:rsidR="00752699" w:rsidRPr="00BA0D2D" w:rsidRDefault="00752699" w:rsidP="00F804BB">
            <w:pPr>
              <w:rPr>
                <w:rFonts w:ascii="Arial" w:hAnsi="Arial" w:cs="Arial"/>
                <w:sz w:val="20"/>
                <w:szCs w:val="20"/>
              </w:rPr>
            </w:pPr>
            <w:r w:rsidRPr="00BA0D2D">
              <w:rPr>
                <w:rFonts w:ascii="Arial" w:hAnsi="Arial" w:cs="Arial"/>
              </w:rPr>
              <w:t>DMRS configuration</w:t>
            </w:r>
          </w:p>
        </w:tc>
        <w:tc>
          <w:tcPr>
            <w:tcW w:w="4536" w:type="dxa"/>
          </w:tcPr>
          <w:p w14:paraId="4FFAC80A" w14:textId="77777777" w:rsidR="00752699" w:rsidRPr="00BA0D2D" w:rsidRDefault="00752699" w:rsidP="00F804BB">
            <w:pPr>
              <w:pStyle w:val="TAH"/>
              <w:jc w:val="left"/>
              <w:rPr>
                <w:rFonts w:cs="Arial"/>
                <w:b w:val="0"/>
                <w:sz w:val="20"/>
                <w:szCs w:val="20"/>
                <w:lang w:val="de-DE" w:eastAsia="ja-JP"/>
              </w:rPr>
            </w:pPr>
            <w:r w:rsidRPr="00BA0D2D">
              <w:rPr>
                <w:rFonts w:cs="Arial"/>
                <w:b w:val="0"/>
                <w:sz w:val="20"/>
                <w:lang w:val="de-DE" w:eastAsia="ja-JP"/>
              </w:rPr>
              <w:t>DMRS 1+3 FDM with Data</w:t>
            </w:r>
          </w:p>
        </w:tc>
      </w:tr>
      <w:tr w:rsidR="00752699" w:rsidRPr="00BA0D2D" w14:paraId="340D1A69" w14:textId="77777777" w:rsidTr="00F804BB">
        <w:trPr>
          <w:jc w:val="center"/>
        </w:trPr>
        <w:tc>
          <w:tcPr>
            <w:tcW w:w="4106" w:type="dxa"/>
          </w:tcPr>
          <w:p w14:paraId="3CBAF25E" w14:textId="77777777" w:rsidR="00752699" w:rsidRPr="00BA0D2D" w:rsidRDefault="00752699" w:rsidP="00F804BB">
            <w:pPr>
              <w:rPr>
                <w:rFonts w:ascii="Arial" w:hAnsi="Arial" w:cs="Arial"/>
                <w:sz w:val="20"/>
                <w:szCs w:val="20"/>
              </w:rPr>
            </w:pPr>
            <w:r w:rsidRPr="00BA0D2D">
              <w:rPr>
                <w:rFonts w:ascii="Arial" w:hAnsi="Arial" w:cs="Arial"/>
              </w:rPr>
              <w:t>Channel estimation using DMRS</w:t>
            </w:r>
          </w:p>
        </w:tc>
        <w:tc>
          <w:tcPr>
            <w:tcW w:w="4536" w:type="dxa"/>
          </w:tcPr>
          <w:p w14:paraId="6AF0D44A" w14:textId="77777777" w:rsidR="00752699" w:rsidRPr="00BA0D2D" w:rsidRDefault="00752699" w:rsidP="00F804BB">
            <w:pPr>
              <w:rPr>
                <w:rFonts w:ascii="Arial" w:hAnsi="Arial" w:cs="Arial"/>
                <w:sz w:val="20"/>
                <w:szCs w:val="20"/>
              </w:rPr>
            </w:pPr>
            <w:r w:rsidRPr="00BA0D2D">
              <w:rPr>
                <w:rFonts w:ascii="Arial" w:hAnsi="Arial" w:cs="Arial"/>
                <w:sz w:val="20"/>
                <w:szCs w:val="20"/>
              </w:rPr>
              <w:t>Non-ideal (with genie-aided Doppler knowledge)</w:t>
            </w:r>
          </w:p>
        </w:tc>
      </w:tr>
      <w:tr w:rsidR="00752699" w:rsidRPr="00BA0D2D" w14:paraId="3197F523" w14:textId="77777777" w:rsidTr="00F804BB">
        <w:trPr>
          <w:jc w:val="center"/>
        </w:trPr>
        <w:tc>
          <w:tcPr>
            <w:tcW w:w="4106" w:type="dxa"/>
          </w:tcPr>
          <w:p w14:paraId="75BB0DFA" w14:textId="77777777" w:rsidR="00752699" w:rsidRPr="00BA0D2D" w:rsidRDefault="00752699" w:rsidP="00F804BB">
            <w:pPr>
              <w:rPr>
                <w:rFonts w:ascii="Arial" w:hAnsi="Arial" w:cs="Arial"/>
                <w:sz w:val="20"/>
                <w:szCs w:val="20"/>
              </w:rPr>
            </w:pPr>
            <w:r w:rsidRPr="00BA0D2D">
              <w:rPr>
                <w:rFonts w:ascii="Arial" w:hAnsi="Arial" w:cs="Arial"/>
                <w:sz w:val="20"/>
                <w:szCs w:val="20"/>
              </w:rPr>
              <w:t>HARQ feedback {periodicity, latency} [slots]</w:t>
            </w:r>
          </w:p>
        </w:tc>
        <w:tc>
          <w:tcPr>
            <w:tcW w:w="4536" w:type="dxa"/>
          </w:tcPr>
          <w:p w14:paraId="241415E0" w14:textId="77777777" w:rsidR="00752699" w:rsidRPr="00BA0D2D" w:rsidRDefault="00752699" w:rsidP="00F804BB">
            <w:pPr>
              <w:rPr>
                <w:rFonts w:ascii="Arial" w:hAnsi="Arial" w:cs="Arial"/>
                <w:sz w:val="20"/>
                <w:szCs w:val="20"/>
              </w:rPr>
            </w:pPr>
            <w:r w:rsidRPr="00BA0D2D">
              <w:rPr>
                <w:rFonts w:ascii="Arial" w:hAnsi="Arial" w:cs="Arial"/>
                <w:sz w:val="20"/>
                <w:szCs w:val="20"/>
              </w:rPr>
              <w:t>{1, 4}</w:t>
            </w:r>
          </w:p>
        </w:tc>
      </w:tr>
      <w:tr w:rsidR="00752699" w:rsidRPr="00BA0D2D" w14:paraId="4534F239" w14:textId="77777777" w:rsidTr="00F804BB">
        <w:trPr>
          <w:jc w:val="center"/>
        </w:trPr>
        <w:tc>
          <w:tcPr>
            <w:tcW w:w="4106" w:type="dxa"/>
          </w:tcPr>
          <w:p w14:paraId="2DA4137C" w14:textId="77777777" w:rsidR="00752699" w:rsidRPr="00BA0D2D" w:rsidRDefault="00752699" w:rsidP="00F804BB">
            <w:pPr>
              <w:rPr>
                <w:rFonts w:ascii="Arial" w:hAnsi="Arial" w:cs="Arial"/>
                <w:sz w:val="20"/>
                <w:szCs w:val="20"/>
              </w:rPr>
            </w:pPr>
            <w:r w:rsidRPr="00BA0D2D">
              <w:rPr>
                <w:rFonts w:ascii="Arial" w:hAnsi="Arial" w:cs="Arial"/>
              </w:rPr>
              <w:t>MCS for fixed rate transmission</w:t>
            </w:r>
          </w:p>
        </w:tc>
        <w:tc>
          <w:tcPr>
            <w:tcW w:w="4536" w:type="dxa"/>
          </w:tcPr>
          <w:p w14:paraId="0A8C58BD" w14:textId="77777777" w:rsidR="00752699" w:rsidRPr="00BA0D2D" w:rsidRDefault="00752699" w:rsidP="00F804BB">
            <w:pPr>
              <w:rPr>
                <w:rFonts w:ascii="Arial" w:hAnsi="Arial" w:cs="Arial"/>
                <w:sz w:val="20"/>
                <w:szCs w:val="20"/>
              </w:rPr>
            </w:pPr>
            <w:r w:rsidRPr="00BA0D2D">
              <w:rPr>
                <w:rFonts w:ascii="Arial" w:hAnsi="Arial" w:cs="Arial"/>
              </w:rPr>
              <w:t>64QAM, code rate 0.6</w:t>
            </w:r>
          </w:p>
        </w:tc>
      </w:tr>
      <w:tr w:rsidR="00752699" w:rsidRPr="00BA0D2D" w14:paraId="2534BA0C" w14:textId="77777777" w:rsidTr="00F804BB">
        <w:trPr>
          <w:jc w:val="center"/>
        </w:trPr>
        <w:tc>
          <w:tcPr>
            <w:tcW w:w="4106" w:type="dxa"/>
          </w:tcPr>
          <w:p w14:paraId="1B3D4AF4" w14:textId="77777777" w:rsidR="00752699" w:rsidRPr="00BA0D2D" w:rsidRDefault="00752699" w:rsidP="00F804BB">
            <w:pPr>
              <w:rPr>
                <w:rFonts w:ascii="Arial" w:hAnsi="Arial" w:cs="Arial"/>
                <w:sz w:val="20"/>
                <w:szCs w:val="20"/>
              </w:rPr>
            </w:pPr>
            <w:r w:rsidRPr="00BA0D2D">
              <w:rPr>
                <w:rFonts w:ascii="Arial" w:hAnsi="Arial" w:cs="Arial"/>
              </w:rPr>
              <w:t>SL CSI-RS</w:t>
            </w:r>
            <w:r w:rsidRPr="00BA0D2D">
              <w:rPr>
                <w:rFonts w:ascii="Arial" w:hAnsi="Arial" w:cs="Arial"/>
                <w:sz w:val="20"/>
                <w:szCs w:val="20"/>
              </w:rPr>
              <w:t xml:space="preserve"> resource</w:t>
            </w:r>
          </w:p>
        </w:tc>
        <w:tc>
          <w:tcPr>
            <w:tcW w:w="4536" w:type="dxa"/>
          </w:tcPr>
          <w:p w14:paraId="197128BE" w14:textId="77777777" w:rsidR="00752699" w:rsidRPr="00BA0D2D" w:rsidRDefault="00752699" w:rsidP="00F804BB">
            <w:pPr>
              <w:rPr>
                <w:rFonts w:ascii="Arial" w:hAnsi="Arial" w:cs="Arial"/>
                <w:sz w:val="20"/>
                <w:szCs w:val="20"/>
              </w:rPr>
            </w:pPr>
            <w:r w:rsidRPr="00BA0D2D">
              <w:rPr>
                <w:rFonts w:ascii="Arial" w:hAnsi="Arial" w:cs="Arial"/>
              </w:rPr>
              <w:t>4REs/PRB in one slot</w:t>
            </w:r>
          </w:p>
        </w:tc>
      </w:tr>
      <w:tr w:rsidR="00752699" w:rsidRPr="00BA0D2D" w14:paraId="76C7F12D" w14:textId="77777777" w:rsidTr="00F804BB">
        <w:trPr>
          <w:jc w:val="center"/>
        </w:trPr>
        <w:tc>
          <w:tcPr>
            <w:tcW w:w="4106" w:type="dxa"/>
          </w:tcPr>
          <w:p w14:paraId="72D21A99" w14:textId="77777777" w:rsidR="00752699" w:rsidRPr="00BA0D2D" w:rsidRDefault="00752699" w:rsidP="00F804BB">
            <w:pPr>
              <w:rPr>
                <w:rFonts w:ascii="Arial" w:hAnsi="Arial" w:cs="Arial"/>
                <w:sz w:val="20"/>
                <w:szCs w:val="20"/>
              </w:rPr>
            </w:pPr>
            <w:r w:rsidRPr="00BA0D2D">
              <w:rPr>
                <w:rFonts w:ascii="Arial" w:hAnsi="Arial" w:cs="Arial"/>
              </w:rPr>
              <w:t>SL CSI-RS/CSI-report periodicity</w:t>
            </w:r>
          </w:p>
        </w:tc>
        <w:tc>
          <w:tcPr>
            <w:tcW w:w="4536" w:type="dxa"/>
          </w:tcPr>
          <w:p w14:paraId="01536149" w14:textId="77777777" w:rsidR="00752699" w:rsidRPr="00BA0D2D" w:rsidRDefault="00752699" w:rsidP="00F804BB">
            <w:pPr>
              <w:rPr>
                <w:rFonts w:ascii="Arial" w:hAnsi="Arial" w:cs="Arial"/>
                <w:sz w:val="20"/>
                <w:szCs w:val="20"/>
              </w:rPr>
            </w:pPr>
            <w:r w:rsidRPr="00BA0D2D">
              <w:rPr>
                <w:rFonts w:ascii="Arial" w:hAnsi="Arial" w:cs="Arial"/>
              </w:rPr>
              <w:t>50 slots</w:t>
            </w:r>
          </w:p>
        </w:tc>
      </w:tr>
      <w:tr w:rsidR="00752699" w:rsidRPr="00BA0D2D" w14:paraId="0027308B" w14:textId="77777777" w:rsidTr="00F804BB">
        <w:trPr>
          <w:jc w:val="center"/>
        </w:trPr>
        <w:tc>
          <w:tcPr>
            <w:tcW w:w="4106" w:type="dxa"/>
          </w:tcPr>
          <w:p w14:paraId="6F7C4C5F" w14:textId="77777777" w:rsidR="00752699" w:rsidRPr="00BA0D2D" w:rsidRDefault="00752699" w:rsidP="00F804BB">
            <w:pPr>
              <w:rPr>
                <w:rFonts w:ascii="Arial" w:hAnsi="Arial" w:cs="Arial"/>
                <w:sz w:val="20"/>
                <w:szCs w:val="20"/>
              </w:rPr>
            </w:pPr>
            <w:r w:rsidRPr="00BA0D2D">
              <w:rPr>
                <w:rFonts w:ascii="Arial" w:hAnsi="Arial" w:cs="Arial"/>
              </w:rPr>
              <w:t>Channel estimation using SL CSI-RS</w:t>
            </w:r>
          </w:p>
        </w:tc>
        <w:tc>
          <w:tcPr>
            <w:tcW w:w="4536" w:type="dxa"/>
          </w:tcPr>
          <w:p w14:paraId="0E8ADC04" w14:textId="77777777" w:rsidR="00752699" w:rsidRPr="00BA0D2D" w:rsidRDefault="00752699" w:rsidP="00F804BB">
            <w:pPr>
              <w:rPr>
                <w:rFonts w:ascii="Arial" w:hAnsi="Arial" w:cs="Arial"/>
                <w:sz w:val="20"/>
                <w:szCs w:val="20"/>
              </w:rPr>
            </w:pPr>
            <w:r w:rsidRPr="00BA0D2D">
              <w:rPr>
                <w:rFonts w:ascii="Arial" w:hAnsi="Arial" w:cs="Arial"/>
              </w:rPr>
              <w:t>ideal</w:t>
            </w:r>
          </w:p>
        </w:tc>
      </w:tr>
      <w:tr w:rsidR="00752699" w:rsidRPr="00BA0D2D" w14:paraId="1E324001" w14:textId="77777777" w:rsidTr="00F804BB">
        <w:trPr>
          <w:jc w:val="center"/>
        </w:trPr>
        <w:tc>
          <w:tcPr>
            <w:tcW w:w="4106" w:type="dxa"/>
          </w:tcPr>
          <w:p w14:paraId="7A7DE29D" w14:textId="77777777" w:rsidR="00752699" w:rsidRPr="00BA0D2D" w:rsidRDefault="00752699" w:rsidP="00F804BB">
            <w:pPr>
              <w:rPr>
                <w:rFonts w:ascii="Arial" w:hAnsi="Arial" w:cs="Arial"/>
                <w:sz w:val="20"/>
                <w:szCs w:val="20"/>
              </w:rPr>
            </w:pPr>
            <w:r w:rsidRPr="00BA0D2D">
              <w:rPr>
                <w:rFonts w:ascii="Arial" w:hAnsi="Arial" w:cs="Arial"/>
                <w:sz w:val="20"/>
                <w:szCs w:val="20"/>
              </w:rPr>
              <w:t>Waveform</w:t>
            </w:r>
          </w:p>
        </w:tc>
        <w:tc>
          <w:tcPr>
            <w:tcW w:w="4536" w:type="dxa"/>
          </w:tcPr>
          <w:p w14:paraId="4A6BA1FD" w14:textId="77777777" w:rsidR="00752699" w:rsidRPr="00BA0D2D" w:rsidRDefault="00752699" w:rsidP="00F804BB">
            <w:pPr>
              <w:rPr>
                <w:rFonts w:ascii="Arial" w:hAnsi="Arial" w:cs="Arial"/>
                <w:sz w:val="20"/>
                <w:szCs w:val="20"/>
              </w:rPr>
            </w:pPr>
            <w:r w:rsidRPr="00BA0D2D">
              <w:rPr>
                <w:rFonts w:ascii="Arial" w:hAnsi="Arial" w:cs="Arial"/>
                <w:sz w:val="20"/>
                <w:szCs w:val="20"/>
              </w:rPr>
              <w:t>CP-OFDM</w:t>
            </w:r>
          </w:p>
        </w:tc>
      </w:tr>
      <w:tr w:rsidR="00752699" w:rsidRPr="00BA0D2D" w14:paraId="6D035D52" w14:textId="77777777" w:rsidTr="00F804BB">
        <w:trPr>
          <w:jc w:val="center"/>
        </w:trPr>
        <w:tc>
          <w:tcPr>
            <w:tcW w:w="4106" w:type="dxa"/>
          </w:tcPr>
          <w:p w14:paraId="08CE18B8" w14:textId="77777777" w:rsidR="00752699" w:rsidRPr="00BA0D2D" w:rsidRDefault="00752699" w:rsidP="00F804BB">
            <w:pPr>
              <w:rPr>
                <w:rFonts w:ascii="Arial" w:hAnsi="Arial" w:cs="Arial"/>
                <w:sz w:val="20"/>
                <w:szCs w:val="20"/>
              </w:rPr>
            </w:pPr>
            <w:r w:rsidRPr="00BA0D2D">
              <w:rPr>
                <w:rFonts w:ascii="Arial" w:hAnsi="Arial" w:cs="Arial"/>
                <w:sz w:val="20"/>
                <w:szCs w:val="20"/>
              </w:rPr>
              <w:t>Number of layers</w:t>
            </w:r>
          </w:p>
        </w:tc>
        <w:tc>
          <w:tcPr>
            <w:tcW w:w="4536" w:type="dxa"/>
          </w:tcPr>
          <w:p w14:paraId="659700B7" w14:textId="77777777" w:rsidR="00752699" w:rsidRPr="00BA0D2D" w:rsidRDefault="00752699" w:rsidP="00F804BB">
            <w:pPr>
              <w:rPr>
                <w:rFonts w:ascii="Arial" w:hAnsi="Arial" w:cs="Arial"/>
                <w:sz w:val="20"/>
                <w:szCs w:val="20"/>
              </w:rPr>
            </w:pPr>
            <w:r w:rsidRPr="00BA0D2D">
              <w:rPr>
                <w:rFonts w:ascii="Arial" w:hAnsi="Arial" w:cs="Arial"/>
                <w:sz w:val="20"/>
                <w:szCs w:val="20"/>
              </w:rPr>
              <w:t>1/2</w:t>
            </w:r>
          </w:p>
        </w:tc>
      </w:tr>
      <w:tr w:rsidR="00752699" w:rsidRPr="00BA0D2D" w14:paraId="484AB952" w14:textId="77777777" w:rsidTr="00F804BB">
        <w:trPr>
          <w:jc w:val="center"/>
        </w:trPr>
        <w:tc>
          <w:tcPr>
            <w:tcW w:w="4106" w:type="dxa"/>
          </w:tcPr>
          <w:p w14:paraId="352001C2" w14:textId="77777777" w:rsidR="00752699" w:rsidRPr="00BA0D2D" w:rsidRDefault="00752699" w:rsidP="00F804BB">
            <w:pPr>
              <w:rPr>
                <w:rFonts w:ascii="Arial" w:hAnsi="Arial" w:cs="Arial"/>
                <w:sz w:val="20"/>
                <w:szCs w:val="20"/>
              </w:rPr>
            </w:pPr>
            <w:r w:rsidRPr="00BA0D2D">
              <w:rPr>
                <w:rFonts w:ascii="Arial" w:hAnsi="Arial" w:cs="Arial"/>
                <w:sz w:val="20"/>
                <w:szCs w:val="20"/>
              </w:rPr>
              <w:t>Number of Tx antennas</w:t>
            </w:r>
          </w:p>
        </w:tc>
        <w:tc>
          <w:tcPr>
            <w:tcW w:w="4536" w:type="dxa"/>
          </w:tcPr>
          <w:p w14:paraId="27F049C4" w14:textId="77777777" w:rsidR="00752699" w:rsidRPr="00BA0D2D" w:rsidRDefault="00752699" w:rsidP="00F804BB">
            <w:pPr>
              <w:rPr>
                <w:rFonts w:ascii="Arial" w:hAnsi="Arial" w:cs="Arial"/>
                <w:sz w:val="20"/>
                <w:szCs w:val="20"/>
              </w:rPr>
            </w:pPr>
            <w:r w:rsidRPr="00BA0D2D">
              <w:rPr>
                <w:rFonts w:ascii="Arial" w:hAnsi="Arial" w:cs="Arial"/>
                <w:sz w:val="20"/>
                <w:szCs w:val="20"/>
              </w:rPr>
              <w:t>4 (2 dual-polarized pairs)</w:t>
            </w:r>
          </w:p>
        </w:tc>
      </w:tr>
      <w:tr w:rsidR="00752699" w:rsidRPr="00BA0D2D" w14:paraId="7B64CD30" w14:textId="77777777" w:rsidTr="00F804BB">
        <w:trPr>
          <w:jc w:val="center"/>
        </w:trPr>
        <w:tc>
          <w:tcPr>
            <w:tcW w:w="4106" w:type="dxa"/>
          </w:tcPr>
          <w:p w14:paraId="75B465D0" w14:textId="77777777" w:rsidR="00752699" w:rsidRPr="00BA0D2D" w:rsidRDefault="00752699" w:rsidP="00F804BB">
            <w:pPr>
              <w:rPr>
                <w:rFonts w:ascii="Arial" w:hAnsi="Arial" w:cs="Arial"/>
                <w:sz w:val="20"/>
                <w:szCs w:val="20"/>
              </w:rPr>
            </w:pPr>
            <w:r w:rsidRPr="00BA0D2D">
              <w:rPr>
                <w:rFonts w:ascii="Arial" w:hAnsi="Arial" w:cs="Arial"/>
                <w:sz w:val="20"/>
                <w:szCs w:val="20"/>
              </w:rPr>
              <w:t>Number of Rx antennas</w:t>
            </w:r>
          </w:p>
        </w:tc>
        <w:tc>
          <w:tcPr>
            <w:tcW w:w="4536" w:type="dxa"/>
          </w:tcPr>
          <w:p w14:paraId="24B2D367" w14:textId="77777777" w:rsidR="00752699" w:rsidRPr="00BA0D2D" w:rsidRDefault="00752699" w:rsidP="00F804BB">
            <w:pPr>
              <w:rPr>
                <w:rFonts w:ascii="Arial" w:hAnsi="Arial" w:cs="Arial"/>
                <w:sz w:val="20"/>
                <w:szCs w:val="20"/>
              </w:rPr>
            </w:pPr>
            <w:r w:rsidRPr="00BA0D2D">
              <w:rPr>
                <w:rFonts w:ascii="Arial" w:hAnsi="Arial" w:cs="Arial"/>
                <w:sz w:val="20"/>
                <w:szCs w:val="20"/>
              </w:rPr>
              <w:t>4/8 (2/4 dual-polarized pairs)</w:t>
            </w:r>
          </w:p>
        </w:tc>
      </w:tr>
      <w:tr w:rsidR="00752699" w:rsidRPr="00BA0D2D" w14:paraId="31C29DBD" w14:textId="77777777" w:rsidTr="00F804BB">
        <w:trPr>
          <w:jc w:val="center"/>
        </w:trPr>
        <w:tc>
          <w:tcPr>
            <w:tcW w:w="4106" w:type="dxa"/>
          </w:tcPr>
          <w:p w14:paraId="6520A22C" w14:textId="77777777" w:rsidR="00752699" w:rsidRPr="00BA0D2D" w:rsidRDefault="00752699" w:rsidP="00F804BB">
            <w:pPr>
              <w:rPr>
                <w:rFonts w:ascii="Arial" w:hAnsi="Arial" w:cs="Arial"/>
                <w:sz w:val="20"/>
                <w:szCs w:val="20"/>
              </w:rPr>
            </w:pPr>
            <w:r w:rsidRPr="00BA0D2D">
              <w:rPr>
                <w:rFonts w:ascii="Arial" w:hAnsi="Arial" w:cs="Arial"/>
                <w:sz w:val="20"/>
                <w:szCs w:val="20"/>
              </w:rPr>
              <w:t>Receiver type</w:t>
            </w:r>
          </w:p>
        </w:tc>
        <w:tc>
          <w:tcPr>
            <w:tcW w:w="4536" w:type="dxa"/>
          </w:tcPr>
          <w:p w14:paraId="2FFA5604" w14:textId="77777777" w:rsidR="00752699" w:rsidRPr="00BA0D2D" w:rsidRDefault="00752699" w:rsidP="00F804BB">
            <w:pPr>
              <w:rPr>
                <w:rFonts w:ascii="Arial" w:hAnsi="Arial" w:cs="Arial"/>
                <w:sz w:val="20"/>
                <w:szCs w:val="20"/>
              </w:rPr>
            </w:pPr>
            <w:r w:rsidRPr="00BA0D2D">
              <w:rPr>
                <w:rFonts w:ascii="Arial" w:hAnsi="Arial" w:cs="Arial"/>
                <w:sz w:val="20"/>
                <w:szCs w:val="20"/>
              </w:rPr>
              <w:t>MRC</w:t>
            </w:r>
          </w:p>
        </w:tc>
      </w:tr>
      <w:tr w:rsidR="00752699" w:rsidRPr="00BA0D2D" w14:paraId="31808525" w14:textId="77777777" w:rsidTr="00F804BB">
        <w:trPr>
          <w:jc w:val="center"/>
        </w:trPr>
        <w:tc>
          <w:tcPr>
            <w:tcW w:w="4106" w:type="dxa"/>
          </w:tcPr>
          <w:p w14:paraId="122A1DAD" w14:textId="77777777" w:rsidR="00752699" w:rsidRPr="00BA0D2D" w:rsidRDefault="00752699" w:rsidP="00F804BB">
            <w:pPr>
              <w:rPr>
                <w:rFonts w:ascii="Arial" w:hAnsi="Arial" w:cs="Arial"/>
                <w:sz w:val="20"/>
                <w:szCs w:val="20"/>
              </w:rPr>
            </w:pPr>
            <w:r w:rsidRPr="00BA0D2D">
              <w:rPr>
                <w:rFonts w:ascii="Arial" w:hAnsi="Arial" w:cs="Arial"/>
                <w:sz w:val="20"/>
                <w:szCs w:val="20"/>
              </w:rPr>
              <w:t>Channel model</w:t>
            </w:r>
          </w:p>
        </w:tc>
        <w:tc>
          <w:tcPr>
            <w:tcW w:w="4536" w:type="dxa"/>
          </w:tcPr>
          <w:p w14:paraId="74C12A4B" w14:textId="77777777" w:rsidR="00752699" w:rsidRPr="00BA0D2D" w:rsidRDefault="00752699" w:rsidP="00F804BB">
            <w:pPr>
              <w:rPr>
                <w:rFonts w:ascii="Arial" w:hAnsi="Arial" w:cs="Arial"/>
                <w:sz w:val="20"/>
                <w:szCs w:val="20"/>
              </w:rPr>
            </w:pPr>
            <w:r w:rsidRPr="00BA0D2D">
              <w:rPr>
                <w:rFonts w:ascii="Arial" w:hAnsi="Arial" w:cs="Arial"/>
                <w:sz w:val="20"/>
                <w:szCs w:val="20"/>
              </w:rPr>
              <w:t>CDL-based V2V channels in TR 37.885</w:t>
            </w:r>
          </w:p>
        </w:tc>
      </w:tr>
      <w:tr w:rsidR="00752699" w:rsidRPr="00EB0879" w14:paraId="09F8CA27" w14:textId="77777777" w:rsidTr="00F804BB">
        <w:trPr>
          <w:jc w:val="center"/>
        </w:trPr>
        <w:tc>
          <w:tcPr>
            <w:tcW w:w="4106" w:type="dxa"/>
          </w:tcPr>
          <w:p w14:paraId="2A80A6B2" w14:textId="77777777" w:rsidR="00752699" w:rsidRPr="00BA0D2D" w:rsidRDefault="00752699" w:rsidP="00F804BB">
            <w:pPr>
              <w:rPr>
                <w:rFonts w:ascii="Arial" w:hAnsi="Arial" w:cs="Arial"/>
                <w:sz w:val="20"/>
                <w:szCs w:val="20"/>
              </w:rPr>
            </w:pPr>
            <w:r w:rsidRPr="00BA0D2D">
              <w:rPr>
                <w:rFonts w:ascii="Arial" w:hAnsi="Arial" w:cs="Arial"/>
                <w:sz w:val="20"/>
                <w:szCs w:val="20"/>
              </w:rPr>
              <w:t>Traffic model</w:t>
            </w:r>
          </w:p>
        </w:tc>
        <w:tc>
          <w:tcPr>
            <w:tcW w:w="4536" w:type="dxa"/>
          </w:tcPr>
          <w:p w14:paraId="2487D4BB" w14:textId="77777777" w:rsidR="00752699" w:rsidRPr="00716D9E" w:rsidRDefault="00752699" w:rsidP="00F804BB">
            <w:pPr>
              <w:rPr>
                <w:rFonts w:ascii="Arial" w:hAnsi="Arial" w:cs="Arial"/>
                <w:sz w:val="20"/>
                <w:szCs w:val="20"/>
              </w:rPr>
            </w:pPr>
            <w:r w:rsidRPr="00BA0D2D">
              <w:rPr>
                <w:rFonts w:ascii="Arial" w:hAnsi="Arial" w:cs="Arial"/>
                <w:sz w:val="20"/>
                <w:szCs w:val="20"/>
              </w:rPr>
              <w:t>Full buffer</w:t>
            </w:r>
          </w:p>
        </w:tc>
      </w:tr>
    </w:tbl>
    <w:p w14:paraId="286FE0D5" w14:textId="77777777" w:rsidR="00752699" w:rsidRPr="00CE0424" w:rsidRDefault="00752699" w:rsidP="00752699">
      <w:pPr>
        <w:pStyle w:val="Reference"/>
        <w:numPr>
          <w:ilvl w:val="0"/>
          <w:numId w:val="0"/>
        </w:numPr>
      </w:pPr>
    </w:p>
    <w:p w14:paraId="72BD6514" w14:textId="77777777" w:rsidR="00752699" w:rsidRPr="00CE0424" w:rsidRDefault="00752699" w:rsidP="00CE0424">
      <w:pPr>
        <w:pStyle w:val="BodyText"/>
      </w:pPr>
    </w:p>
    <w:sectPr w:rsidR="00752699" w:rsidRPr="00CE0424" w:rsidSect="00A35E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16C03" w14:textId="77777777" w:rsidR="00F54F69" w:rsidRDefault="00F54F69">
      <w:r>
        <w:separator/>
      </w:r>
    </w:p>
  </w:endnote>
  <w:endnote w:type="continuationSeparator" w:id="0">
    <w:p w14:paraId="0AE17B6A" w14:textId="77777777" w:rsidR="00F54F69" w:rsidRDefault="00F54F69">
      <w:r>
        <w:continuationSeparator/>
      </w:r>
    </w:p>
  </w:endnote>
  <w:endnote w:type="continuationNotice" w:id="1">
    <w:p w14:paraId="7C6873BF" w14:textId="77777777" w:rsidR="00F54F69" w:rsidRDefault="00F54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E428D" w14:textId="77777777" w:rsidR="00F54F69" w:rsidRDefault="00F54F69">
      <w:r>
        <w:separator/>
      </w:r>
    </w:p>
  </w:footnote>
  <w:footnote w:type="continuationSeparator" w:id="0">
    <w:p w14:paraId="4D9B749B" w14:textId="77777777" w:rsidR="00F54F69" w:rsidRDefault="00F54F69">
      <w:r>
        <w:continuationSeparator/>
      </w:r>
    </w:p>
  </w:footnote>
  <w:footnote w:type="continuationNotice" w:id="1">
    <w:p w14:paraId="107EEB00" w14:textId="77777777" w:rsidR="00F54F69" w:rsidRDefault="00F54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C052C52"/>
    <w:multiLevelType w:val="hybridMultilevel"/>
    <w:tmpl w:val="40C08A2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7C6189"/>
    <w:multiLevelType w:val="hybridMultilevel"/>
    <w:tmpl w:val="F5A0A1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B818EF"/>
    <w:multiLevelType w:val="hybridMultilevel"/>
    <w:tmpl w:val="83307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44FBD"/>
    <w:multiLevelType w:val="hybridMultilevel"/>
    <w:tmpl w:val="DCBEF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03675"/>
    <w:multiLevelType w:val="hybridMultilevel"/>
    <w:tmpl w:val="F0127AA0"/>
    <w:lvl w:ilvl="0" w:tplc="040B0001">
      <w:start w:val="1"/>
      <w:numFmt w:val="bullet"/>
      <w:lvlText w:val=""/>
      <w:lvlJc w:val="left"/>
      <w:pPr>
        <w:ind w:left="2070" w:hanging="360"/>
      </w:pPr>
      <w:rPr>
        <w:rFonts w:ascii="Symbol" w:hAnsi="Symbol" w:hint="default"/>
      </w:rPr>
    </w:lvl>
    <w:lvl w:ilvl="1" w:tplc="040B0003">
      <w:start w:val="1"/>
      <w:numFmt w:val="bullet"/>
      <w:lvlText w:val="o"/>
      <w:lvlJc w:val="left"/>
      <w:pPr>
        <w:ind w:left="2790" w:hanging="360"/>
      </w:pPr>
      <w:rPr>
        <w:rFonts w:ascii="Courier New" w:hAnsi="Courier New" w:cs="Courier New" w:hint="default"/>
      </w:rPr>
    </w:lvl>
    <w:lvl w:ilvl="2" w:tplc="040B0005" w:tentative="1">
      <w:start w:val="1"/>
      <w:numFmt w:val="bullet"/>
      <w:lvlText w:val=""/>
      <w:lvlJc w:val="left"/>
      <w:pPr>
        <w:ind w:left="3510" w:hanging="360"/>
      </w:pPr>
      <w:rPr>
        <w:rFonts w:ascii="Wingdings" w:hAnsi="Wingdings" w:hint="default"/>
      </w:rPr>
    </w:lvl>
    <w:lvl w:ilvl="3" w:tplc="040B0001" w:tentative="1">
      <w:start w:val="1"/>
      <w:numFmt w:val="bullet"/>
      <w:lvlText w:val=""/>
      <w:lvlJc w:val="left"/>
      <w:pPr>
        <w:ind w:left="4230" w:hanging="360"/>
      </w:pPr>
      <w:rPr>
        <w:rFonts w:ascii="Symbol" w:hAnsi="Symbol" w:hint="default"/>
      </w:rPr>
    </w:lvl>
    <w:lvl w:ilvl="4" w:tplc="040B0003" w:tentative="1">
      <w:start w:val="1"/>
      <w:numFmt w:val="bullet"/>
      <w:lvlText w:val="o"/>
      <w:lvlJc w:val="left"/>
      <w:pPr>
        <w:ind w:left="4950" w:hanging="360"/>
      </w:pPr>
      <w:rPr>
        <w:rFonts w:ascii="Courier New" w:hAnsi="Courier New" w:cs="Courier New" w:hint="default"/>
      </w:rPr>
    </w:lvl>
    <w:lvl w:ilvl="5" w:tplc="040B0005" w:tentative="1">
      <w:start w:val="1"/>
      <w:numFmt w:val="bullet"/>
      <w:lvlText w:val=""/>
      <w:lvlJc w:val="left"/>
      <w:pPr>
        <w:ind w:left="5670" w:hanging="360"/>
      </w:pPr>
      <w:rPr>
        <w:rFonts w:ascii="Wingdings" w:hAnsi="Wingdings" w:hint="default"/>
      </w:rPr>
    </w:lvl>
    <w:lvl w:ilvl="6" w:tplc="040B0001" w:tentative="1">
      <w:start w:val="1"/>
      <w:numFmt w:val="bullet"/>
      <w:lvlText w:val=""/>
      <w:lvlJc w:val="left"/>
      <w:pPr>
        <w:ind w:left="6390" w:hanging="360"/>
      </w:pPr>
      <w:rPr>
        <w:rFonts w:ascii="Symbol" w:hAnsi="Symbol" w:hint="default"/>
      </w:rPr>
    </w:lvl>
    <w:lvl w:ilvl="7" w:tplc="040B0003" w:tentative="1">
      <w:start w:val="1"/>
      <w:numFmt w:val="bullet"/>
      <w:lvlText w:val="o"/>
      <w:lvlJc w:val="left"/>
      <w:pPr>
        <w:ind w:left="7110" w:hanging="360"/>
      </w:pPr>
      <w:rPr>
        <w:rFonts w:ascii="Courier New" w:hAnsi="Courier New" w:cs="Courier New" w:hint="default"/>
      </w:rPr>
    </w:lvl>
    <w:lvl w:ilvl="8" w:tplc="040B0005" w:tentative="1">
      <w:start w:val="1"/>
      <w:numFmt w:val="bullet"/>
      <w:lvlText w:val=""/>
      <w:lvlJc w:val="left"/>
      <w:pPr>
        <w:ind w:left="783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A01457"/>
    <w:multiLevelType w:val="hybridMultilevel"/>
    <w:tmpl w:val="79508158"/>
    <w:lvl w:ilvl="0" w:tplc="4816F6D2">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F57596"/>
    <w:multiLevelType w:val="hybridMultilevel"/>
    <w:tmpl w:val="7E782B22"/>
    <w:lvl w:ilvl="0" w:tplc="3B2689AE">
      <w:start w:val="1"/>
      <w:numFmt w:val="bullet"/>
      <w:lvlText w:val="—"/>
      <w:lvlJc w:val="left"/>
      <w:pPr>
        <w:tabs>
          <w:tab w:val="num" w:pos="720"/>
        </w:tabs>
        <w:ind w:left="720" w:hanging="360"/>
      </w:pPr>
      <w:rPr>
        <w:rFonts w:ascii="Ericsson Hilda Light" w:hAnsi="Ericsson Hilda Light" w:hint="default"/>
      </w:rPr>
    </w:lvl>
    <w:lvl w:ilvl="1" w:tplc="4D644DF8">
      <w:start w:val="1"/>
      <w:numFmt w:val="bullet"/>
      <w:lvlText w:val="—"/>
      <w:lvlJc w:val="left"/>
      <w:pPr>
        <w:tabs>
          <w:tab w:val="num" w:pos="1440"/>
        </w:tabs>
        <w:ind w:left="1440" w:hanging="360"/>
      </w:pPr>
      <w:rPr>
        <w:rFonts w:ascii="Ericsson Hilda Light" w:hAnsi="Ericsson Hilda Light" w:hint="default"/>
      </w:rPr>
    </w:lvl>
    <w:lvl w:ilvl="2" w:tplc="BAFA8E8A">
      <w:start w:val="1"/>
      <w:numFmt w:val="bullet"/>
      <w:lvlText w:val="—"/>
      <w:lvlJc w:val="left"/>
      <w:pPr>
        <w:tabs>
          <w:tab w:val="num" w:pos="2160"/>
        </w:tabs>
        <w:ind w:left="2160" w:hanging="360"/>
      </w:pPr>
      <w:rPr>
        <w:rFonts w:ascii="Ericsson Hilda Light" w:hAnsi="Ericsson Hilda Light" w:hint="default"/>
      </w:rPr>
    </w:lvl>
    <w:lvl w:ilvl="3" w:tplc="D1A40592" w:tentative="1">
      <w:start w:val="1"/>
      <w:numFmt w:val="bullet"/>
      <w:lvlText w:val="—"/>
      <w:lvlJc w:val="left"/>
      <w:pPr>
        <w:tabs>
          <w:tab w:val="num" w:pos="2880"/>
        </w:tabs>
        <w:ind w:left="2880" w:hanging="360"/>
      </w:pPr>
      <w:rPr>
        <w:rFonts w:ascii="Ericsson Hilda Light" w:hAnsi="Ericsson Hilda Light" w:hint="default"/>
      </w:rPr>
    </w:lvl>
    <w:lvl w:ilvl="4" w:tplc="EA402C88" w:tentative="1">
      <w:start w:val="1"/>
      <w:numFmt w:val="bullet"/>
      <w:lvlText w:val="—"/>
      <w:lvlJc w:val="left"/>
      <w:pPr>
        <w:tabs>
          <w:tab w:val="num" w:pos="3600"/>
        </w:tabs>
        <w:ind w:left="3600" w:hanging="360"/>
      </w:pPr>
      <w:rPr>
        <w:rFonts w:ascii="Ericsson Hilda Light" w:hAnsi="Ericsson Hilda Light" w:hint="default"/>
      </w:rPr>
    </w:lvl>
    <w:lvl w:ilvl="5" w:tplc="D67875F6" w:tentative="1">
      <w:start w:val="1"/>
      <w:numFmt w:val="bullet"/>
      <w:lvlText w:val="—"/>
      <w:lvlJc w:val="left"/>
      <w:pPr>
        <w:tabs>
          <w:tab w:val="num" w:pos="4320"/>
        </w:tabs>
        <w:ind w:left="4320" w:hanging="360"/>
      </w:pPr>
      <w:rPr>
        <w:rFonts w:ascii="Ericsson Hilda Light" w:hAnsi="Ericsson Hilda Light" w:hint="default"/>
      </w:rPr>
    </w:lvl>
    <w:lvl w:ilvl="6" w:tplc="D4A4478E" w:tentative="1">
      <w:start w:val="1"/>
      <w:numFmt w:val="bullet"/>
      <w:lvlText w:val="—"/>
      <w:lvlJc w:val="left"/>
      <w:pPr>
        <w:tabs>
          <w:tab w:val="num" w:pos="5040"/>
        </w:tabs>
        <w:ind w:left="5040" w:hanging="360"/>
      </w:pPr>
      <w:rPr>
        <w:rFonts w:ascii="Ericsson Hilda Light" w:hAnsi="Ericsson Hilda Light" w:hint="default"/>
      </w:rPr>
    </w:lvl>
    <w:lvl w:ilvl="7" w:tplc="98E6518E" w:tentative="1">
      <w:start w:val="1"/>
      <w:numFmt w:val="bullet"/>
      <w:lvlText w:val="—"/>
      <w:lvlJc w:val="left"/>
      <w:pPr>
        <w:tabs>
          <w:tab w:val="num" w:pos="5760"/>
        </w:tabs>
        <w:ind w:left="5760" w:hanging="360"/>
      </w:pPr>
      <w:rPr>
        <w:rFonts w:ascii="Ericsson Hilda Light" w:hAnsi="Ericsson Hilda Light" w:hint="default"/>
      </w:rPr>
    </w:lvl>
    <w:lvl w:ilvl="8" w:tplc="1BEA48AC"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D1B7899"/>
    <w:multiLevelType w:val="hybridMultilevel"/>
    <w:tmpl w:val="92DC7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842758"/>
    <w:multiLevelType w:val="hybridMultilevel"/>
    <w:tmpl w:val="058AE09C"/>
    <w:lvl w:ilvl="0" w:tplc="040B0017">
      <w:start w:val="1"/>
      <w:numFmt w:val="low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5A0D95"/>
    <w:multiLevelType w:val="hybridMultilevel"/>
    <w:tmpl w:val="A41E900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4D7A5E"/>
    <w:multiLevelType w:val="hybridMultilevel"/>
    <w:tmpl w:val="567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7"/>
  </w:num>
  <w:num w:numId="6">
    <w:abstractNumId w:val="24"/>
  </w:num>
  <w:num w:numId="7">
    <w:abstractNumId w:val="31"/>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3"/>
  </w:num>
  <w:num w:numId="17">
    <w:abstractNumId w:val="12"/>
  </w:num>
  <w:num w:numId="18">
    <w:abstractNumId w:val="14"/>
  </w:num>
  <w:num w:numId="19">
    <w:abstractNumId w:val="10"/>
  </w:num>
  <w:num w:numId="20">
    <w:abstractNumId w:val="39"/>
  </w:num>
  <w:num w:numId="21">
    <w:abstractNumId w:val="19"/>
  </w:num>
  <w:num w:numId="22">
    <w:abstractNumId w:val="38"/>
  </w:num>
  <w:num w:numId="23">
    <w:abstractNumId w:val="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1"/>
  </w:num>
  <w:num w:numId="27">
    <w:abstractNumId w:val="27"/>
  </w:num>
  <w:num w:numId="28">
    <w:abstractNumId w:val="30"/>
  </w:num>
  <w:num w:numId="29">
    <w:abstractNumId w:val="32"/>
  </w:num>
  <w:num w:numId="30">
    <w:abstractNumId w:val="5"/>
  </w:num>
  <w:num w:numId="31">
    <w:abstractNumId w:val="25"/>
  </w:num>
  <w:num w:numId="32">
    <w:abstractNumId w:val="9"/>
  </w:num>
  <w:num w:numId="33">
    <w:abstractNumId w:val="37"/>
  </w:num>
  <w:num w:numId="34">
    <w:abstractNumId w:val="13"/>
  </w:num>
  <w:num w:numId="35">
    <w:abstractNumId w:val="6"/>
  </w:num>
  <w:num w:numId="36">
    <w:abstractNumId w:val="8"/>
  </w:num>
  <w:num w:numId="37">
    <w:abstractNumId w:val="16"/>
  </w:num>
  <w:num w:numId="38">
    <w:abstractNumId w:val="42"/>
  </w:num>
  <w:num w:numId="39">
    <w:abstractNumId w:val="11"/>
  </w:num>
  <w:num w:numId="40">
    <w:abstractNumId w:val="40"/>
  </w:num>
  <w:num w:numId="41">
    <w:abstractNumId w:val="36"/>
  </w:num>
  <w:num w:numId="42">
    <w:abstractNumId w:val="35"/>
  </w:num>
  <w:num w:numId="4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1C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73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D8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8D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67B"/>
    <w:rsid w:val="001C1CE5"/>
    <w:rsid w:val="001C25A6"/>
    <w:rsid w:val="001C3D2A"/>
    <w:rsid w:val="001C46F1"/>
    <w:rsid w:val="001D51BA"/>
    <w:rsid w:val="001D53E7"/>
    <w:rsid w:val="001D6342"/>
    <w:rsid w:val="001D6D53"/>
    <w:rsid w:val="001E58E2"/>
    <w:rsid w:val="001E7AED"/>
    <w:rsid w:val="001F3916"/>
    <w:rsid w:val="001F54C5"/>
    <w:rsid w:val="001F62D2"/>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964"/>
    <w:rsid w:val="00230765"/>
    <w:rsid w:val="00230ABF"/>
    <w:rsid w:val="00230D18"/>
    <w:rsid w:val="00230DD8"/>
    <w:rsid w:val="002319E4"/>
    <w:rsid w:val="002339F6"/>
    <w:rsid w:val="00235632"/>
    <w:rsid w:val="00235872"/>
    <w:rsid w:val="00241559"/>
    <w:rsid w:val="002435B3"/>
    <w:rsid w:val="002458EB"/>
    <w:rsid w:val="002500C8"/>
    <w:rsid w:val="00257543"/>
    <w:rsid w:val="002617E7"/>
    <w:rsid w:val="00264228"/>
    <w:rsid w:val="00264334"/>
    <w:rsid w:val="0026473E"/>
    <w:rsid w:val="00266214"/>
    <w:rsid w:val="00267C83"/>
    <w:rsid w:val="0027061B"/>
    <w:rsid w:val="00270E3F"/>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5FD"/>
    <w:rsid w:val="002A2869"/>
    <w:rsid w:val="002A662A"/>
    <w:rsid w:val="002B24D6"/>
    <w:rsid w:val="002C2469"/>
    <w:rsid w:val="002C41E6"/>
    <w:rsid w:val="002D071A"/>
    <w:rsid w:val="002D319E"/>
    <w:rsid w:val="002D33C3"/>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98C"/>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9B5"/>
    <w:rsid w:val="003A5B0A"/>
    <w:rsid w:val="003A6BAC"/>
    <w:rsid w:val="003A70A4"/>
    <w:rsid w:val="003A7EF3"/>
    <w:rsid w:val="003B159C"/>
    <w:rsid w:val="003B369F"/>
    <w:rsid w:val="003B36A3"/>
    <w:rsid w:val="003B64BB"/>
    <w:rsid w:val="003B7FE5"/>
    <w:rsid w:val="003C11C8"/>
    <w:rsid w:val="003C2702"/>
    <w:rsid w:val="003C6A7B"/>
    <w:rsid w:val="003C7806"/>
    <w:rsid w:val="003D109F"/>
    <w:rsid w:val="003D2478"/>
    <w:rsid w:val="003D3C45"/>
    <w:rsid w:val="003D5B1F"/>
    <w:rsid w:val="003E15FA"/>
    <w:rsid w:val="003E55E4"/>
    <w:rsid w:val="003E74E3"/>
    <w:rsid w:val="003F05C7"/>
    <w:rsid w:val="003F2CD4"/>
    <w:rsid w:val="003F4559"/>
    <w:rsid w:val="003F6BBE"/>
    <w:rsid w:val="004000E8"/>
    <w:rsid w:val="00402E2B"/>
    <w:rsid w:val="0040512B"/>
    <w:rsid w:val="00405CA5"/>
    <w:rsid w:val="0040675B"/>
    <w:rsid w:val="00407CD3"/>
    <w:rsid w:val="00410134"/>
    <w:rsid w:val="00410B72"/>
    <w:rsid w:val="00410F18"/>
    <w:rsid w:val="0041263E"/>
    <w:rsid w:val="00413AAC"/>
    <w:rsid w:val="00413E92"/>
    <w:rsid w:val="0042046F"/>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6A8"/>
    <w:rsid w:val="004B7C0C"/>
    <w:rsid w:val="004C3898"/>
    <w:rsid w:val="004D36B1"/>
    <w:rsid w:val="004D7EBD"/>
    <w:rsid w:val="004E2680"/>
    <w:rsid w:val="004E28F9"/>
    <w:rsid w:val="004E462E"/>
    <w:rsid w:val="004E56DC"/>
    <w:rsid w:val="004E76F4"/>
    <w:rsid w:val="004F0606"/>
    <w:rsid w:val="004F0B4E"/>
    <w:rsid w:val="004F0B6C"/>
    <w:rsid w:val="004F0BF9"/>
    <w:rsid w:val="004F2078"/>
    <w:rsid w:val="004F4DA3"/>
    <w:rsid w:val="004F7443"/>
    <w:rsid w:val="0050395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0EF"/>
    <w:rsid w:val="005935A4"/>
    <w:rsid w:val="005948C2"/>
    <w:rsid w:val="00595DCA"/>
    <w:rsid w:val="0059779B"/>
    <w:rsid w:val="005A209A"/>
    <w:rsid w:val="005A662D"/>
    <w:rsid w:val="005B1409"/>
    <w:rsid w:val="005B35D7"/>
    <w:rsid w:val="005B392A"/>
    <w:rsid w:val="005B3AA3"/>
    <w:rsid w:val="005B6F83"/>
    <w:rsid w:val="005C2BC8"/>
    <w:rsid w:val="005C74FB"/>
    <w:rsid w:val="005D1602"/>
    <w:rsid w:val="005E385F"/>
    <w:rsid w:val="005E5B81"/>
    <w:rsid w:val="005E73D8"/>
    <w:rsid w:val="005F2CB1"/>
    <w:rsid w:val="005F3025"/>
    <w:rsid w:val="005F3B6E"/>
    <w:rsid w:val="005F618C"/>
    <w:rsid w:val="005F6BAC"/>
    <w:rsid w:val="005F70BD"/>
    <w:rsid w:val="005F7EF5"/>
    <w:rsid w:val="0060283C"/>
    <w:rsid w:val="00604F14"/>
    <w:rsid w:val="00611B83"/>
    <w:rsid w:val="00611E95"/>
    <w:rsid w:val="00613257"/>
    <w:rsid w:val="00620A71"/>
    <w:rsid w:val="00620D80"/>
    <w:rsid w:val="006234A6"/>
    <w:rsid w:val="0062418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2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9A4"/>
    <w:rsid w:val="00695FC2"/>
    <w:rsid w:val="00696949"/>
    <w:rsid w:val="00697052"/>
    <w:rsid w:val="006A2F28"/>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545"/>
    <w:rsid w:val="00747D8B"/>
    <w:rsid w:val="00751228"/>
    <w:rsid w:val="00752699"/>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53E"/>
    <w:rsid w:val="007A1CB3"/>
    <w:rsid w:val="007A306F"/>
    <w:rsid w:val="007A43A6"/>
    <w:rsid w:val="007A58A6"/>
    <w:rsid w:val="007B3D2D"/>
    <w:rsid w:val="007B50AE"/>
    <w:rsid w:val="007B51DF"/>
    <w:rsid w:val="007C05DD"/>
    <w:rsid w:val="007C081E"/>
    <w:rsid w:val="007C3D18"/>
    <w:rsid w:val="007C60BF"/>
    <w:rsid w:val="007C6A07"/>
    <w:rsid w:val="007C75A1"/>
    <w:rsid w:val="007C77A5"/>
    <w:rsid w:val="007D04E5"/>
    <w:rsid w:val="007D2DA8"/>
    <w:rsid w:val="007D5901"/>
    <w:rsid w:val="007D7526"/>
    <w:rsid w:val="007E4610"/>
    <w:rsid w:val="007E4715"/>
    <w:rsid w:val="007E505B"/>
    <w:rsid w:val="007E7091"/>
    <w:rsid w:val="007F1DE6"/>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90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98C"/>
    <w:rsid w:val="008E39E2"/>
    <w:rsid w:val="008F1C4E"/>
    <w:rsid w:val="008F1EAB"/>
    <w:rsid w:val="008F33DC"/>
    <w:rsid w:val="008F477F"/>
    <w:rsid w:val="00902350"/>
    <w:rsid w:val="0090336B"/>
    <w:rsid w:val="00905163"/>
    <w:rsid w:val="009053AA"/>
    <w:rsid w:val="00906939"/>
    <w:rsid w:val="00910B7D"/>
    <w:rsid w:val="00911DFB"/>
    <w:rsid w:val="009139D9"/>
    <w:rsid w:val="00914AD8"/>
    <w:rsid w:val="00916079"/>
    <w:rsid w:val="00917CE9"/>
    <w:rsid w:val="00920BF2"/>
    <w:rsid w:val="00922010"/>
    <w:rsid w:val="00931BD9"/>
    <w:rsid w:val="00933390"/>
    <w:rsid w:val="009368F3"/>
    <w:rsid w:val="00941636"/>
    <w:rsid w:val="00943742"/>
    <w:rsid w:val="00945C05"/>
    <w:rsid w:val="00946945"/>
    <w:rsid w:val="00947713"/>
    <w:rsid w:val="00950DE7"/>
    <w:rsid w:val="00950ED4"/>
    <w:rsid w:val="00953920"/>
    <w:rsid w:val="00953D47"/>
    <w:rsid w:val="0095681E"/>
    <w:rsid w:val="009572D4"/>
    <w:rsid w:val="00961921"/>
    <w:rsid w:val="0096430A"/>
    <w:rsid w:val="0096554B"/>
    <w:rsid w:val="0096584A"/>
    <w:rsid w:val="00971F08"/>
    <w:rsid w:val="009753B4"/>
    <w:rsid w:val="0097603D"/>
    <w:rsid w:val="00976949"/>
    <w:rsid w:val="00980477"/>
    <w:rsid w:val="00985253"/>
    <w:rsid w:val="009853B3"/>
    <w:rsid w:val="00990630"/>
    <w:rsid w:val="00991761"/>
    <w:rsid w:val="009921B3"/>
    <w:rsid w:val="00994DCA"/>
    <w:rsid w:val="009960EC"/>
    <w:rsid w:val="009970DD"/>
    <w:rsid w:val="0099756C"/>
    <w:rsid w:val="009A0FBA"/>
    <w:rsid w:val="009A1601"/>
    <w:rsid w:val="009A3BB6"/>
    <w:rsid w:val="009A462D"/>
    <w:rsid w:val="009A5CBA"/>
    <w:rsid w:val="009B1F30"/>
    <w:rsid w:val="009B3AC2"/>
    <w:rsid w:val="009B4DF4"/>
    <w:rsid w:val="009B564E"/>
    <w:rsid w:val="009B7E87"/>
    <w:rsid w:val="009C0169"/>
    <w:rsid w:val="009C403E"/>
    <w:rsid w:val="009D4FF0"/>
    <w:rsid w:val="009D675D"/>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5E14"/>
    <w:rsid w:val="00A36297"/>
    <w:rsid w:val="00A41E2B"/>
    <w:rsid w:val="00A44248"/>
    <w:rsid w:val="00A453F4"/>
    <w:rsid w:val="00A45B74"/>
    <w:rsid w:val="00A52E1D"/>
    <w:rsid w:val="00A61499"/>
    <w:rsid w:val="00A62A77"/>
    <w:rsid w:val="00A63483"/>
    <w:rsid w:val="00A657D7"/>
    <w:rsid w:val="00A660AC"/>
    <w:rsid w:val="00A67E6C"/>
    <w:rsid w:val="00A71B99"/>
    <w:rsid w:val="00A739D0"/>
    <w:rsid w:val="00A761D4"/>
    <w:rsid w:val="00A7626A"/>
    <w:rsid w:val="00A77EC4"/>
    <w:rsid w:val="00A903F4"/>
    <w:rsid w:val="00A92879"/>
    <w:rsid w:val="00A9442A"/>
    <w:rsid w:val="00A96470"/>
    <w:rsid w:val="00AA016F"/>
    <w:rsid w:val="00AA1AF6"/>
    <w:rsid w:val="00AA1ED6"/>
    <w:rsid w:val="00AA51D6"/>
    <w:rsid w:val="00AB0BC8"/>
    <w:rsid w:val="00AB11CA"/>
    <w:rsid w:val="00AB14D9"/>
    <w:rsid w:val="00AB223A"/>
    <w:rsid w:val="00AB4AB8"/>
    <w:rsid w:val="00AB655E"/>
    <w:rsid w:val="00AC007F"/>
    <w:rsid w:val="00AC2ECD"/>
    <w:rsid w:val="00AC3119"/>
    <w:rsid w:val="00AC49FB"/>
    <w:rsid w:val="00AC4CE7"/>
    <w:rsid w:val="00AC5A10"/>
    <w:rsid w:val="00AD0AA3"/>
    <w:rsid w:val="00AD2ED0"/>
    <w:rsid w:val="00AD3F94"/>
    <w:rsid w:val="00AD4A5A"/>
    <w:rsid w:val="00AE27AC"/>
    <w:rsid w:val="00AE40E0"/>
    <w:rsid w:val="00AE4DBA"/>
    <w:rsid w:val="00AE4F07"/>
    <w:rsid w:val="00AF1C5D"/>
    <w:rsid w:val="00AF42D7"/>
    <w:rsid w:val="00AF7AD2"/>
    <w:rsid w:val="00B006FE"/>
    <w:rsid w:val="00B007CB"/>
    <w:rsid w:val="00B02AA9"/>
    <w:rsid w:val="00B02FA3"/>
    <w:rsid w:val="00B05084"/>
    <w:rsid w:val="00B157F9"/>
    <w:rsid w:val="00B20256"/>
    <w:rsid w:val="00B20D09"/>
    <w:rsid w:val="00B20DD9"/>
    <w:rsid w:val="00B22C6C"/>
    <w:rsid w:val="00B2763F"/>
    <w:rsid w:val="00B27AAC"/>
    <w:rsid w:val="00B30929"/>
    <w:rsid w:val="00B372AA"/>
    <w:rsid w:val="00B40445"/>
    <w:rsid w:val="00B409E0"/>
    <w:rsid w:val="00B41888"/>
    <w:rsid w:val="00B45A52"/>
    <w:rsid w:val="00B46175"/>
    <w:rsid w:val="00B548B7"/>
    <w:rsid w:val="00B664C7"/>
    <w:rsid w:val="00B73445"/>
    <w:rsid w:val="00B739F6"/>
    <w:rsid w:val="00B816F1"/>
    <w:rsid w:val="00B81A6C"/>
    <w:rsid w:val="00B85DE5"/>
    <w:rsid w:val="00B90F73"/>
    <w:rsid w:val="00B93B59"/>
    <w:rsid w:val="00B9406A"/>
    <w:rsid w:val="00BA0D2D"/>
    <w:rsid w:val="00BA2280"/>
    <w:rsid w:val="00BA2A08"/>
    <w:rsid w:val="00BA56D2"/>
    <w:rsid w:val="00BA76E0"/>
    <w:rsid w:val="00BB10A7"/>
    <w:rsid w:val="00BB2A25"/>
    <w:rsid w:val="00BB51E9"/>
    <w:rsid w:val="00BB5831"/>
    <w:rsid w:val="00BC0FDC"/>
    <w:rsid w:val="00BC3053"/>
    <w:rsid w:val="00BC4D2E"/>
    <w:rsid w:val="00BD48AC"/>
    <w:rsid w:val="00BD5F1A"/>
    <w:rsid w:val="00BE0E51"/>
    <w:rsid w:val="00BE1234"/>
    <w:rsid w:val="00BE2FA6"/>
    <w:rsid w:val="00BE333F"/>
    <w:rsid w:val="00BE7406"/>
    <w:rsid w:val="00BE7603"/>
    <w:rsid w:val="00BF2DCC"/>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DFD"/>
    <w:rsid w:val="00C5233D"/>
    <w:rsid w:val="00C54995"/>
    <w:rsid w:val="00C54D41"/>
    <w:rsid w:val="00C60783"/>
    <w:rsid w:val="00C64672"/>
    <w:rsid w:val="00C70697"/>
    <w:rsid w:val="00C72093"/>
    <w:rsid w:val="00C72EF4"/>
    <w:rsid w:val="00C73A3B"/>
    <w:rsid w:val="00C744FE"/>
    <w:rsid w:val="00C75D2F"/>
    <w:rsid w:val="00C767BE"/>
    <w:rsid w:val="00C76E3C"/>
    <w:rsid w:val="00C81568"/>
    <w:rsid w:val="00C9027A"/>
    <w:rsid w:val="00C9068E"/>
    <w:rsid w:val="00C92BF4"/>
    <w:rsid w:val="00C93814"/>
    <w:rsid w:val="00C93C4B"/>
    <w:rsid w:val="00C944AB"/>
    <w:rsid w:val="00C95B40"/>
    <w:rsid w:val="00CA1ED8"/>
    <w:rsid w:val="00CA6CE8"/>
    <w:rsid w:val="00CB1F63"/>
    <w:rsid w:val="00CB4772"/>
    <w:rsid w:val="00CB7170"/>
    <w:rsid w:val="00CC040E"/>
    <w:rsid w:val="00CC111F"/>
    <w:rsid w:val="00CC2011"/>
    <w:rsid w:val="00CC3EA0"/>
    <w:rsid w:val="00CC512A"/>
    <w:rsid w:val="00CC7B45"/>
    <w:rsid w:val="00CD1188"/>
    <w:rsid w:val="00CD2ED1"/>
    <w:rsid w:val="00CD337B"/>
    <w:rsid w:val="00CD4F5B"/>
    <w:rsid w:val="00CE0424"/>
    <w:rsid w:val="00CE0BF7"/>
    <w:rsid w:val="00CE7561"/>
    <w:rsid w:val="00CF1354"/>
    <w:rsid w:val="00CF3B1F"/>
    <w:rsid w:val="00CF3BF6"/>
    <w:rsid w:val="00CF625B"/>
    <w:rsid w:val="00CF687E"/>
    <w:rsid w:val="00D0349B"/>
    <w:rsid w:val="00D04A17"/>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7ED"/>
    <w:rsid w:val="00D823C6"/>
    <w:rsid w:val="00D8327F"/>
    <w:rsid w:val="00D86CA3"/>
    <w:rsid w:val="00D871CE"/>
    <w:rsid w:val="00D91264"/>
    <w:rsid w:val="00D9196D"/>
    <w:rsid w:val="00D92982"/>
    <w:rsid w:val="00D95357"/>
    <w:rsid w:val="00DA305E"/>
    <w:rsid w:val="00DA3D59"/>
    <w:rsid w:val="00DA5417"/>
    <w:rsid w:val="00DA56E8"/>
    <w:rsid w:val="00DB0A9F"/>
    <w:rsid w:val="00DB377D"/>
    <w:rsid w:val="00DB6DAB"/>
    <w:rsid w:val="00DC2D36"/>
    <w:rsid w:val="00DC53EF"/>
    <w:rsid w:val="00DE5608"/>
    <w:rsid w:val="00DE58D0"/>
    <w:rsid w:val="00DE654F"/>
    <w:rsid w:val="00DF0B6E"/>
    <w:rsid w:val="00DF15E0"/>
    <w:rsid w:val="00DF37A0"/>
    <w:rsid w:val="00E1007C"/>
    <w:rsid w:val="00E110E7"/>
    <w:rsid w:val="00E11B20"/>
    <w:rsid w:val="00E17FA2"/>
    <w:rsid w:val="00E22330"/>
    <w:rsid w:val="00E27AD2"/>
    <w:rsid w:val="00E30B5A"/>
    <w:rsid w:val="00E3123D"/>
    <w:rsid w:val="00E31461"/>
    <w:rsid w:val="00E31D43"/>
    <w:rsid w:val="00E32608"/>
    <w:rsid w:val="00E33401"/>
    <w:rsid w:val="00E34188"/>
    <w:rsid w:val="00E34B6E"/>
    <w:rsid w:val="00E35292"/>
    <w:rsid w:val="00E35559"/>
    <w:rsid w:val="00E36E70"/>
    <w:rsid w:val="00E3723A"/>
    <w:rsid w:val="00E37860"/>
    <w:rsid w:val="00E446F1"/>
    <w:rsid w:val="00E44A1A"/>
    <w:rsid w:val="00E46886"/>
    <w:rsid w:val="00E47AEF"/>
    <w:rsid w:val="00E53B75"/>
    <w:rsid w:val="00E54728"/>
    <w:rsid w:val="00E54E3B"/>
    <w:rsid w:val="00E57565"/>
    <w:rsid w:val="00E63838"/>
    <w:rsid w:val="00E64434"/>
    <w:rsid w:val="00E64D71"/>
    <w:rsid w:val="00E6621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699"/>
    <w:rsid w:val="00F15FA5"/>
    <w:rsid w:val="00F209B7"/>
    <w:rsid w:val="00F2376F"/>
    <w:rsid w:val="00F243D8"/>
    <w:rsid w:val="00F30828"/>
    <w:rsid w:val="00F313D6"/>
    <w:rsid w:val="00F40F0C"/>
    <w:rsid w:val="00F4766C"/>
    <w:rsid w:val="00F5060E"/>
    <w:rsid w:val="00F507D1"/>
    <w:rsid w:val="00F519CE"/>
    <w:rsid w:val="00F51ADA"/>
    <w:rsid w:val="00F53AC2"/>
    <w:rsid w:val="00F54F69"/>
    <w:rsid w:val="00F5648C"/>
    <w:rsid w:val="00F60203"/>
    <w:rsid w:val="00F607C5"/>
    <w:rsid w:val="00F60DEA"/>
    <w:rsid w:val="00F6302A"/>
    <w:rsid w:val="00F63950"/>
    <w:rsid w:val="00F64C2B"/>
    <w:rsid w:val="00F651BE"/>
    <w:rsid w:val="00F6715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C51"/>
    <w:rsid w:val="00FE2365"/>
    <w:rsid w:val="00FE37D7"/>
    <w:rsid w:val="00FE4C7B"/>
    <w:rsid w:val="00FE7336"/>
    <w:rsid w:val="00FE787C"/>
    <w:rsid w:val="00FE7FD8"/>
    <w:rsid w:val="00FF45A5"/>
    <w:rsid w:val="00FF5C91"/>
    <w:rsid w:val="1FCE64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qFormat/>
    <w:rsid w:val="00752699"/>
    <w:pPr>
      <w:widowControl w:val="0"/>
      <w:overflowPunct/>
      <w:autoSpaceDE/>
      <w:autoSpaceDN/>
      <w:adjustRightInd/>
      <w:snapToGrid w:val="0"/>
      <w:spacing w:afterLines="50" w:after="160" w:line="264" w:lineRule="auto"/>
      <w:jc w:val="both"/>
      <w:textAlignment w:val="auto"/>
    </w:pPr>
    <w:rPr>
      <w:rFonts w:asciiTheme="minorHAnsi" w:eastAsia="Batang" w:hAnsiTheme="minorHAnsi" w:cstheme="minorBidi"/>
      <w:kern w:val="2"/>
      <w:sz w:val="22"/>
      <w:szCs w:val="24"/>
      <w:lang w:val="en-US" w:eastAsia="ko-KR"/>
    </w:rPr>
  </w:style>
  <w:style w:type="character" w:customStyle="1" w:styleId="LGTdocChar">
    <w:name w:val="LGTdoc_본문 Char"/>
    <w:link w:val="LGTdoc"/>
    <w:qFormat/>
    <w:rsid w:val="00752699"/>
    <w:rPr>
      <w:rFonts w:asciiTheme="minorHAnsi" w:eastAsia="Batang" w:hAnsiTheme="minorHAnsi" w:cstheme="minorBidi"/>
      <w:kern w:val="2"/>
      <w:sz w:val="22"/>
      <w:szCs w:val="24"/>
      <w:lang w:val="en-US" w:eastAsia="ko-KR"/>
    </w:rPr>
  </w:style>
  <w:style w:type="table" w:customStyle="1" w:styleId="TableGrid1">
    <w:name w:val="Table Grid1"/>
    <w:basedOn w:val="TableNormal"/>
    <w:next w:val="TableGrid"/>
    <w:uiPriority w:val="39"/>
    <w:rsid w:val="0075269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3092</Words>
  <Characters>25048</Characters>
  <Application>Microsoft Office Word</Application>
  <DocSecurity>0</DocSecurity>
  <Lines>208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2019-02-15T16:37:00Z</dcterms:created>
  <dcterms:modified xsi:type="dcterms:W3CDTF">2019-02-15T16:37:00Z</dcterms:modified>
  <cp:category/>
</cp:coreProperties>
</file>